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BAC56" w14:textId="4666A471" w:rsidR="0072565A" w:rsidRPr="00332FE7" w:rsidRDefault="0072565A" w:rsidP="0072565A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sz w:val="27"/>
          <w:szCs w:val="27"/>
        </w:rPr>
      </w:pPr>
      <w:r w:rsidRPr="00332FE7">
        <w:rPr>
          <w:rFonts w:eastAsia="Times New Roman" w:cstheme="minorHAnsi"/>
          <w:b/>
          <w:bCs/>
          <w:sz w:val="27"/>
          <w:szCs w:val="27"/>
        </w:rPr>
        <w:t>Division 800</w:t>
      </w:r>
      <w:r w:rsidRPr="00332FE7">
        <w:rPr>
          <w:rFonts w:eastAsia="Times New Roman" w:cstheme="minorHAnsi"/>
          <w:b/>
          <w:bCs/>
          <w:sz w:val="27"/>
          <w:szCs w:val="27"/>
        </w:rPr>
        <w:br/>
      </w:r>
      <w:r w:rsidR="0040707E" w:rsidRPr="00332FE7">
        <w:rPr>
          <w:rFonts w:eastAsia="Times New Roman" w:cstheme="minorHAnsi"/>
          <w:b/>
          <w:bCs/>
          <w:sz w:val="27"/>
          <w:szCs w:val="27"/>
        </w:rPr>
        <w:t>Early Learning Kindergarten Readiness Partnership and Innovation Program</w:t>
      </w:r>
    </w:p>
    <w:p w14:paraId="748F0F1E" w14:textId="77777777" w:rsidR="0072565A" w:rsidRPr="00332FE7" w:rsidRDefault="00DC4AEE" w:rsidP="0072565A">
      <w:pPr>
        <w:spacing w:before="100" w:beforeAutospacing="1" w:after="100" w:afterAutospacing="1"/>
        <w:rPr>
          <w:rFonts w:eastAsia="Times New Roman" w:cstheme="minorHAnsi"/>
        </w:rPr>
      </w:pPr>
      <w:hyperlink r:id="rId7" w:history="1">
        <w:r w:rsidR="0072565A" w:rsidRPr="00332FE7">
          <w:rPr>
            <w:rFonts w:eastAsia="Times New Roman" w:cstheme="minorHAnsi"/>
            <w:b/>
            <w:bCs/>
            <w:color w:val="0000FF"/>
            <w:u w:val="single"/>
          </w:rPr>
          <w:t>414-800-0005</w:t>
        </w:r>
      </w:hyperlink>
      <w:r w:rsidR="0072565A" w:rsidRPr="00332FE7">
        <w:rPr>
          <w:rFonts w:eastAsia="Times New Roman" w:cstheme="minorHAnsi"/>
        </w:rPr>
        <w:br/>
      </w:r>
      <w:r w:rsidR="0072565A" w:rsidRPr="00332FE7">
        <w:rPr>
          <w:rFonts w:eastAsia="Times New Roman" w:cstheme="minorHAnsi"/>
          <w:b/>
          <w:bCs/>
        </w:rPr>
        <w:t xml:space="preserve">Definitions </w:t>
      </w:r>
    </w:p>
    <w:p w14:paraId="2F43F4B9" w14:textId="144EF153" w:rsidR="0040707E" w:rsidRPr="00332FE7" w:rsidRDefault="0040707E" w:rsidP="0096228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332FE7">
        <w:rPr>
          <w:rFonts w:eastAsia="Times New Roman" w:cstheme="minorHAnsi"/>
        </w:rPr>
        <w:t>“Early Learning Kindergarten Readiness Partnership and Innovation Program (KPI)” means th</w:t>
      </w:r>
      <w:r w:rsidR="005F15A4" w:rsidRPr="00332FE7">
        <w:rPr>
          <w:rFonts w:eastAsia="Times New Roman" w:cstheme="minorHAnsi"/>
        </w:rPr>
        <w:t>e</w:t>
      </w:r>
      <w:r w:rsidRPr="00332FE7">
        <w:rPr>
          <w:rFonts w:eastAsia="Times New Roman" w:cstheme="minorHAnsi"/>
        </w:rPr>
        <w:t xml:space="preserve"> program established by </w:t>
      </w:r>
      <w:hyperlink r:id="rId8" w:history="1">
        <w:r w:rsidRPr="00332FE7">
          <w:rPr>
            <w:rStyle w:val="Hyperlink"/>
            <w:rFonts w:eastAsia="Times New Roman" w:cstheme="minorHAnsi"/>
          </w:rPr>
          <w:t>ORS 336.101</w:t>
        </w:r>
      </w:hyperlink>
      <w:r w:rsidRPr="00332FE7">
        <w:rPr>
          <w:rFonts w:eastAsia="Times New Roman" w:cstheme="minorHAnsi"/>
        </w:rPr>
        <w:t>.</w:t>
      </w:r>
    </w:p>
    <w:p w14:paraId="5D103CBD" w14:textId="1190AB31" w:rsidR="0040707E" w:rsidRPr="00332FE7" w:rsidRDefault="0040707E" w:rsidP="0096228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332FE7">
        <w:rPr>
          <w:rFonts w:eastAsia="Times New Roman" w:cstheme="minorHAnsi"/>
        </w:rPr>
        <w:t xml:space="preserve">“Division” means the Early Learning </w:t>
      </w:r>
      <w:r w:rsidR="004F64C3" w:rsidRPr="00332FE7">
        <w:rPr>
          <w:rFonts w:eastAsia="Times New Roman" w:cstheme="minorHAnsi"/>
        </w:rPr>
        <w:t>D</w:t>
      </w:r>
      <w:r w:rsidRPr="00332FE7">
        <w:rPr>
          <w:rFonts w:eastAsia="Times New Roman" w:cstheme="minorHAnsi"/>
        </w:rPr>
        <w:t xml:space="preserve">ivision of the Oregon Department of Education. </w:t>
      </w:r>
    </w:p>
    <w:p w14:paraId="52E8AF60" w14:textId="4E76AA76" w:rsidR="0072565A" w:rsidRPr="00332FE7" w:rsidRDefault="0072565A" w:rsidP="0096228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332FE7">
        <w:rPr>
          <w:rFonts w:eastAsia="Times New Roman" w:cstheme="minorHAnsi"/>
        </w:rPr>
        <w:t>“Ear</w:t>
      </w:r>
      <w:r w:rsidR="00BD3BA6" w:rsidRPr="00332FE7">
        <w:rPr>
          <w:rFonts w:eastAsia="Times New Roman" w:cstheme="minorHAnsi"/>
        </w:rPr>
        <w:t>ly childhood</w:t>
      </w:r>
      <w:r w:rsidRPr="00332FE7">
        <w:rPr>
          <w:rFonts w:eastAsia="Times New Roman" w:cstheme="minorHAnsi"/>
        </w:rPr>
        <w:t xml:space="preserve"> services” means programs and services for children ages birth through </w:t>
      </w:r>
      <w:r w:rsidR="007603F5" w:rsidRPr="00332FE7">
        <w:rPr>
          <w:rFonts w:eastAsia="Times New Roman" w:cstheme="minorHAnsi"/>
        </w:rPr>
        <w:t>five</w:t>
      </w:r>
      <w:r w:rsidRPr="00332FE7">
        <w:rPr>
          <w:rFonts w:eastAsia="Times New Roman" w:cstheme="minorHAnsi"/>
        </w:rPr>
        <w:t xml:space="preserve"> years of age that address</w:t>
      </w:r>
      <w:r w:rsidR="00E5777C">
        <w:rPr>
          <w:rFonts w:eastAsia="Times New Roman" w:cstheme="minorHAnsi"/>
        </w:rPr>
        <w:t>:</w:t>
      </w:r>
      <w:r w:rsidRPr="00332FE7">
        <w:rPr>
          <w:rFonts w:eastAsia="Times New Roman" w:cstheme="minorHAnsi"/>
        </w:rPr>
        <w:t xml:space="preserve"> la</w:t>
      </w:r>
      <w:r w:rsidR="00E5777C">
        <w:rPr>
          <w:rFonts w:eastAsia="Times New Roman" w:cstheme="minorHAnsi"/>
        </w:rPr>
        <w:t>nguage and literacy development;</w:t>
      </w:r>
      <w:r w:rsidRPr="00332FE7">
        <w:rPr>
          <w:rFonts w:eastAsia="Times New Roman" w:cstheme="minorHAnsi"/>
        </w:rPr>
        <w:t xml:space="preserve"> cognition and general knowledge</w:t>
      </w:r>
      <w:r w:rsidR="00E5777C">
        <w:rPr>
          <w:rFonts w:eastAsia="Times New Roman" w:cstheme="minorHAnsi"/>
        </w:rPr>
        <w:t xml:space="preserve">; learning approaches; </w:t>
      </w:r>
      <w:r w:rsidRPr="00332FE7">
        <w:rPr>
          <w:rFonts w:eastAsia="Times New Roman" w:cstheme="minorHAnsi"/>
        </w:rPr>
        <w:t>physical health and w</w:t>
      </w:r>
      <w:r w:rsidR="00E5777C">
        <w:rPr>
          <w:rFonts w:eastAsia="Times New Roman" w:cstheme="minorHAnsi"/>
        </w:rPr>
        <w:t>ell-being; motor development or</w:t>
      </w:r>
      <w:r w:rsidRPr="00332FE7">
        <w:rPr>
          <w:rFonts w:eastAsia="Times New Roman" w:cstheme="minorHAnsi"/>
        </w:rPr>
        <w:t xml:space="preserve"> social and emotional development. Providers of early </w:t>
      </w:r>
      <w:r w:rsidR="00BD3BA6" w:rsidRPr="00332FE7">
        <w:rPr>
          <w:rFonts w:eastAsia="Times New Roman" w:cstheme="minorHAnsi"/>
        </w:rPr>
        <w:t xml:space="preserve">childhood </w:t>
      </w:r>
      <w:r w:rsidR="004224D7">
        <w:rPr>
          <w:rFonts w:eastAsia="Times New Roman" w:cstheme="minorHAnsi"/>
        </w:rPr>
        <w:t xml:space="preserve">services include, but are not limited to, </w:t>
      </w:r>
      <w:r w:rsidRPr="00332FE7">
        <w:rPr>
          <w:rFonts w:eastAsia="Times New Roman" w:cstheme="minorHAnsi"/>
        </w:rPr>
        <w:t>Early Learning Hubs, relief nurseries, home visiting programs, child care providers, preschools, Head Start, Oregon Pre</w:t>
      </w:r>
      <w:r w:rsidR="00025AD4" w:rsidRPr="00332FE7">
        <w:rPr>
          <w:rFonts w:eastAsia="Times New Roman" w:cstheme="minorHAnsi"/>
        </w:rPr>
        <w:t>natal to Kindergarten</w:t>
      </w:r>
      <w:r w:rsidRPr="00332FE7">
        <w:rPr>
          <w:rFonts w:eastAsia="Times New Roman" w:cstheme="minorHAnsi"/>
        </w:rPr>
        <w:t xml:space="preserve">, </w:t>
      </w:r>
      <w:r w:rsidR="00025AD4" w:rsidRPr="00332FE7">
        <w:rPr>
          <w:rFonts w:eastAsia="Times New Roman" w:cstheme="minorHAnsi"/>
        </w:rPr>
        <w:t xml:space="preserve">Preschool Promise, </w:t>
      </w:r>
      <w:r w:rsidRPr="00332FE7">
        <w:rPr>
          <w:rFonts w:eastAsia="Times New Roman" w:cstheme="minorHAnsi"/>
        </w:rPr>
        <w:t xml:space="preserve">and others who provide programs and services for children ages birth through </w:t>
      </w:r>
      <w:r w:rsidR="007603F5" w:rsidRPr="00332FE7">
        <w:rPr>
          <w:rFonts w:eastAsia="Times New Roman" w:cstheme="minorHAnsi"/>
        </w:rPr>
        <w:t>five</w:t>
      </w:r>
      <w:r w:rsidRPr="00332FE7">
        <w:rPr>
          <w:rFonts w:eastAsia="Times New Roman" w:cstheme="minorHAnsi"/>
        </w:rPr>
        <w:t>.</w:t>
      </w:r>
    </w:p>
    <w:p w14:paraId="439CCFF0" w14:textId="24627BF3" w:rsidR="00F541AE" w:rsidRPr="00332FE7" w:rsidRDefault="0072565A" w:rsidP="0096228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332FE7">
        <w:rPr>
          <w:rFonts w:eastAsia="Times New Roman" w:cstheme="minorHAnsi"/>
        </w:rPr>
        <w:t xml:space="preserve">“Early Learning Hub” </w:t>
      </w:r>
      <w:r w:rsidR="00CD2037" w:rsidRPr="00332FE7">
        <w:rPr>
          <w:rFonts w:eastAsia="Times New Roman" w:cstheme="minorHAnsi"/>
        </w:rPr>
        <w:t xml:space="preserve">means an entity designated by regional partners to coordinate early learning services under </w:t>
      </w:r>
      <w:hyperlink r:id="rId9" w:history="1">
        <w:r w:rsidR="00CD2037" w:rsidRPr="00332FE7">
          <w:rPr>
            <w:rStyle w:val="Hyperlink"/>
            <w:rFonts w:eastAsia="Times New Roman" w:cstheme="minorHAnsi"/>
          </w:rPr>
          <w:t>ORS 417.827.</w:t>
        </w:r>
      </w:hyperlink>
    </w:p>
    <w:p w14:paraId="71E210C3" w14:textId="5563D321" w:rsidR="0072565A" w:rsidRPr="00332FE7" w:rsidRDefault="002C10D6" w:rsidP="002C10D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332FE7">
        <w:rPr>
          <w:rFonts w:eastAsia="Times New Roman" w:cstheme="minorHAnsi"/>
        </w:rPr>
        <w:t>“Early Care &amp; Education Sector Plan”</w:t>
      </w:r>
      <w:r w:rsidR="004F64C3" w:rsidRPr="00332FE7">
        <w:rPr>
          <w:rFonts w:eastAsia="Times New Roman" w:cstheme="minorHAnsi"/>
        </w:rPr>
        <w:t xml:space="preserve"> means </w:t>
      </w:r>
      <w:r w:rsidR="00E5777C">
        <w:rPr>
          <w:rFonts w:eastAsia="Times New Roman" w:cstheme="minorHAnsi"/>
        </w:rPr>
        <w:t>the community plan completed</w:t>
      </w:r>
      <w:r w:rsidR="00F541AE" w:rsidRPr="00332FE7">
        <w:rPr>
          <w:rFonts w:eastAsia="Times New Roman" w:cstheme="minorHAnsi"/>
        </w:rPr>
        <w:t xml:space="preserve"> by</w:t>
      </w:r>
      <w:r w:rsidR="00E5777C">
        <w:rPr>
          <w:rFonts w:eastAsia="Times New Roman" w:cstheme="minorHAnsi"/>
        </w:rPr>
        <w:t xml:space="preserve"> Early Learning Hubs under</w:t>
      </w:r>
      <w:r w:rsidR="00F541AE" w:rsidRPr="00332FE7">
        <w:rPr>
          <w:rFonts w:eastAsia="Times New Roman" w:cstheme="minorHAnsi"/>
        </w:rPr>
        <w:t xml:space="preserve"> </w:t>
      </w:r>
      <w:hyperlink r:id="rId10" w:history="1">
        <w:r w:rsidR="00F541AE" w:rsidRPr="00332FE7">
          <w:rPr>
            <w:rStyle w:val="Hyperlink"/>
            <w:rFonts w:eastAsia="Times New Roman" w:cstheme="minorHAnsi"/>
          </w:rPr>
          <w:t xml:space="preserve">ORS </w:t>
        </w:r>
        <w:r w:rsidRPr="00332FE7">
          <w:rPr>
            <w:rStyle w:val="Hyperlink"/>
            <w:rFonts w:eastAsia="Times New Roman" w:cstheme="minorHAnsi"/>
          </w:rPr>
          <w:t>417.784</w:t>
        </w:r>
      </w:hyperlink>
      <w:r w:rsidR="00F541AE" w:rsidRPr="00332FE7">
        <w:rPr>
          <w:rFonts w:eastAsia="Times New Roman" w:cstheme="minorHAnsi"/>
        </w:rPr>
        <w:t>.</w:t>
      </w:r>
    </w:p>
    <w:p w14:paraId="4739E56D" w14:textId="5CBDDA52" w:rsidR="00E52C36" w:rsidRPr="00332FE7" w:rsidRDefault="00E52C36" w:rsidP="0096228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332FE7">
        <w:rPr>
          <w:rFonts w:eastAsia="Times New Roman" w:cstheme="minorHAnsi"/>
        </w:rPr>
        <w:t>“Inclusive” or “inclusion” means the principle of enabling all children, regardless of their diverse backgrounds or abilities</w:t>
      </w:r>
      <w:r w:rsidR="0020010C">
        <w:rPr>
          <w:rFonts w:eastAsia="Times New Roman" w:cstheme="minorHAnsi"/>
        </w:rPr>
        <w:t>.</w:t>
      </w:r>
    </w:p>
    <w:p w14:paraId="469513D2" w14:textId="3F23C9BE" w:rsidR="00332FE7" w:rsidRPr="00332FE7" w:rsidRDefault="00332FE7" w:rsidP="00332FE7">
      <w:pPr>
        <w:pStyle w:val="ListParagraph"/>
        <w:numPr>
          <w:ilvl w:val="0"/>
          <w:numId w:val="2"/>
        </w:numPr>
        <w:autoSpaceDE w:val="0"/>
        <w:autoSpaceDN w:val="0"/>
        <w:spacing w:before="100" w:beforeAutospacing="1"/>
        <w:rPr>
          <w:rFonts w:cstheme="minorHAnsi"/>
        </w:rPr>
      </w:pPr>
      <w:r w:rsidRPr="00332FE7">
        <w:rPr>
          <w:rFonts w:cstheme="minorHAnsi"/>
        </w:rPr>
        <w:t xml:space="preserve">“Oregon Parenting Education Collaborative Parenting Hub” or “OPEC Parenting Hub” means a </w:t>
      </w:r>
      <w:r w:rsidRPr="00332FE7">
        <w:rPr>
          <w:rFonts w:cstheme="minorHAnsi"/>
          <w:bCs/>
        </w:rPr>
        <w:t xml:space="preserve">regional entity </w:t>
      </w:r>
      <w:r w:rsidRPr="00332FE7">
        <w:rPr>
          <w:rFonts w:cstheme="minorHAnsi"/>
        </w:rPr>
        <w:t xml:space="preserve">in the State of Oregon that supports expanded access to best practice parenting education programs, with a focus on reaching parents of children prenatal to age six, as identified and funded </w:t>
      </w:r>
      <w:r w:rsidRPr="00332FE7">
        <w:rPr>
          <w:rFonts w:cstheme="minorHAnsi"/>
          <w:bCs/>
        </w:rPr>
        <w:t>through</w:t>
      </w:r>
      <w:r w:rsidRPr="00332FE7">
        <w:rPr>
          <w:rFonts w:cstheme="minorHAnsi"/>
        </w:rPr>
        <w:t> the Oregon Parenting Education Collaborative.</w:t>
      </w:r>
    </w:p>
    <w:p w14:paraId="7C3E32C8" w14:textId="705F2F45" w:rsidR="0072565A" w:rsidRPr="00332FE7" w:rsidRDefault="0072565A" w:rsidP="0096228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332FE7">
        <w:rPr>
          <w:rFonts w:eastAsia="Times New Roman" w:cstheme="minorHAnsi"/>
        </w:rPr>
        <w:t>“Non-profit organization” means:</w:t>
      </w:r>
    </w:p>
    <w:p w14:paraId="792F0A34" w14:textId="0E062B8D" w:rsidR="0072565A" w:rsidRPr="00332FE7" w:rsidRDefault="0072565A" w:rsidP="00962287">
      <w:pPr>
        <w:pStyle w:val="ListParagraph"/>
        <w:numPr>
          <w:ilvl w:val="4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332FE7">
        <w:rPr>
          <w:rFonts w:eastAsia="Times New Roman" w:cstheme="minorHAnsi"/>
        </w:rPr>
        <w:t>An organization established as a nonprofit organization; and</w:t>
      </w:r>
    </w:p>
    <w:p w14:paraId="1CA76E4B" w14:textId="4530D9EC" w:rsidR="0072565A" w:rsidRPr="00332FE7" w:rsidRDefault="0072565A" w:rsidP="00962287">
      <w:pPr>
        <w:pStyle w:val="ListParagraph"/>
        <w:numPr>
          <w:ilvl w:val="4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332FE7">
        <w:rPr>
          <w:rFonts w:eastAsia="Times New Roman" w:cstheme="minorHAnsi"/>
        </w:rPr>
        <w:t>Qualifies as an exempt</w:t>
      </w:r>
      <w:r w:rsidR="004E7CC9" w:rsidRPr="00332FE7">
        <w:rPr>
          <w:rFonts w:eastAsia="Times New Roman" w:cstheme="minorHAnsi"/>
        </w:rPr>
        <w:t xml:space="preserve"> organization under section 501</w:t>
      </w:r>
      <w:r w:rsidRPr="00332FE7">
        <w:rPr>
          <w:rFonts w:eastAsia="Times New Roman" w:cstheme="minorHAnsi"/>
        </w:rPr>
        <w:t>(c</w:t>
      </w:r>
      <w:proofErr w:type="gramStart"/>
      <w:r w:rsidRPr="00332FE7">
        <w:rPr>
          <w:rFonts w:eastAsia="Times New Roman" w:cstheme="minorHAnsi"/>
        </w:rPr>
        <w:t>)(</w:t>
      </w:r>
      <w:proofErr w:type="gramEnd"/>
      <w:r w:rsidRPr="00332FE7">
        <w:rPr>
          <w:rFonts w:eastAsia="Times New Roman" w:cstheme="minorHAnsi"/>
        </w:rPr>
        <w:t xml:space="preserve">3) of the Internal Revenue Code as defined in </w:t>
      </w:r>
      <w:hyperlink r:id="rId11" w:history="1">
        <w:r w:rsidRPr="00332FE7">
          <w:rPr>
            <w:rStyle w:val="Hyperlink"/>
            <w:rFonts w:eastAsia="Times New Roman" w:cstheme="minorHAnsi"/>
          </w:rPr>
          <w:t>ORS 314.011</w:t>
        </w:r>
      </w:hyperlink>
      <w:r w:rsidRPr="00332FE7">
        <w:rPr>
          <w:rFonts w:eastAsia="Times New Roman" w:cstheme="minorHAnsi"/>
        </w:rPr>
        <w:t>.</w:t>
      </w:r>
    </w:p>
    <w:p w14:paraId="5E3F0165" w14:textId="0D79CF8C" w:rsidR="00751CAB" w:rsidRPr="00332FE7" w:rsidRDefault="004F72A9" w:rsidP="00751CA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332FE7">
        <w:rPr>
          <w:rFonts w:eastAsia="Times New Roman" w:cstheme="minorHAnsi"/>
        </w:rPr>
        <w:t xml:space="preserve"> </w:t>
      </w:r>
      <w:r w:rsidR="00751CAB" w:rsidRPr="00332FE7">
        <w:rPr>
          <w:rFonts w:eastAsia="Times New Roman" w:cstheme="minorHAnsi"/>
        </w:rPr>
        <w:t>“Postsecondary Institution” means a:</w:t>
      </w:r>
    </w:p>
    <w:p w14:paraId="32256AD7" w14:textId="77777777" w:rsidR="00751CAB" w:rsidRPr="00332FE7" w:rsidRDefault="00751CAB" w:rsidP="00962287">
      <w:pPr>
        <w:pStyle w:val="ListParagraph"/>
        <w:spacing w:before="100" w:beforeAutospacing="1" w:after="100" w:afterAutospacing="1"/>
        <w:ind w:left="360"/>
        <w:rPr>
          <w:rFonts w:eastAsia="Times New Roman" w:cstheme="minorHAnsi"/>
        </w:rPr>
      </w:pPr>
      <w:r w:rsidRPr="00332FE7">
        <w:rPr>
          <w:rFonts w:eastAsia="Times New Roman" w:cstheme="minorHAnsi"/>
        </w:rPr>
        <w:t>(a) A community college operated under ORS chapter 341.</w:t>
      </w:r>
    </w:p>
    <w:p w14:paraId="60808A34" w14:textId="77777777" w:rsidR="00751CAB" w:rsidRPr="00332FE7" w:rsidRDefault="00751CAB" w:rsidP="00962287">
      <w:pPr>
        <w:pStyle w:val="ListParagraph"/>
        <w:spacing w:before="100" w:beforeAutospacing="1" w:after="100" w:afterAutospacing="1"/>
        <w:ind w:left="360"/>
        <w:rPr>
          <w:rFonts w:eastAsia="Times New Roman" w:cstheme="minorHAnsi"/>
        </w:rPr>
      </w:pPr>
      <w:r w:rsidRPr="00332FE7">
        <w:rPr>
          <w:rFonts w:eastAsia="Times New Roman" w:cstheme="minorHAnsi"/>
        </w:rPr>
        <w:t>(b) The following public universities within the Oregon University System:</w:t>
      </w:r>
    </w:p>
    <w:p w14:paraId="3E42CD66" w14:textId="77777777" w:rsidR="00751CAB" w:rsidRPr="00332FE7" w:rsidRDefault="00751CAB" w:rsidP="00962287">
      <w:pPr>
        <w:pStyle w:val="ListParagraph"/>
        <w:spacing w:before="100" w:beforeAutospacing="1" w:after="100" w:afterAutospacing="1"/>
        <w:ind w:left="810"/>
        <w:rPr>
          <w:rFonts w:eastAsia="Times New Roman" w:cstheme="minorHAnsi"/>
        </w:rPr>
      </w:pPr>
      <w:r w:rsidRPr="00332FE7">
        <w:rPr>
          <w:rFonts w:eastAsia="Times New Roman" w:cstheme="minorHAnsi"/>
        </w:rPr>
        <w:t>(A) University of Oregon.</w:t>
      </w:r>
    </w:p>
    <w:p w14:paraId="23CE9A19" w14:textId="77777777" w:rsidR="00751CAB" w:rsidRPr="00332FE7" w:rsidRDefault="00751CAB" w:rsidP="00962287">
      <w:pPr>
        <w:pStyle w:val="ListParagraph"/>
        <w:spacing w:before="100" w:beforeAutospacing="1" w:after="100" w:afterAutospacing="1"/>
        <w:ind w:left="810"/>
        <w:rPr>
          <w:rFonts w:eastAsia="Times New Roman" w:cstheme="minorHAnsi"/>
        </w:rPr>
      </w:pPr>
      <w:r w:rsidRPr="00332FE7">
        <w:rPr>
          <w:rFonts w:eastAsia="Times New Roman" w:cstheme="minorHAnsi"/>
        </w:rPr>
        <w:t>(B) Oregon State University.</w:t>
      </w:r>
    </w:p>
    <w:p w14:paraId="47FA74F8" w14:textId="77777777" w:rsidR="00751CAB" w:rsidRPr="00332FE7" w:rsidRDefault="00751CAB" w:rsidP="00962287">
      <w:pPr>
        <w:pStyle w:val="ListParagraph"/>
        <w:spacing w:before="100" w:beforeAutospacing="1" w:after="100" w:afterAutospacing="1"/>
        <w:ind w:left="810"/>
        <w:rPr>
          <w:rFonts w:eastAsia="Times New Roman" w:cstheme="minorHAnsi"/>
        </w:rPr>
      </w:pPr>
      <w:r w:rsidRPr="00332FE7">
        <w:rPr>
          <w:rFonts w:eastAsia="Times New Roman" w:cstheme="minorHAnsi"/>
        </w:rPr>
        <w:t>(C) Portland State University.</w:t>
      </w:r>
    </w:p>
    <w:p w14:paraId="6E66174C" w14:textId="77777777" w:rsidR="00751CAB" w:rsidRPr="00332FE7" w:rsidRDefault="00751CAB" w:rsidP="00962287">
      <w:pPr>
        <w:pStyle w:val="ListParagraph"/>
        <w:spacing w:before="100" w:beforeAutospacing="1" w:after="100" w:afterAutospacing="1"/>
        <w:ind w:left="810"/>
        <w:rPr>
          <w:rFonts w:eastAsia="Times New Roman" w:cstheme="minorHAnsi"/>
        </w:rPr>
      </w:pPr>
      <w:r w:rsidRPr="00332FE7">
        <w:rPr>
          <w:rFonts w:eastAsia="Times New Roman" w:cstheme="minorHAnsi"/>
        </w:rPr>
        <w:t>(D) Oregon Institute of Technology.</w:t>
      </w:r>
    </w:p>
    <w:p w14:paraId="5D98AA34" w14:textId="77777777" w:rsidR="00751CAB" w:rsidRPr="00332FE7" w:rsidRDefault="00751CAB" w:rsidP="00962287">
      <w:pPr>
        <w:pStyle w:val="ListParagraph"/>
        <w:spacing w:before="100" w:beforeAutospacing="1" w:after="100" w:afterAutospacing="1"/>
        <w:ind w:left="810"/>
        <w:rPr>
          <w:rFonts w:eastAsia="Times New Roman" w:cstheme="minorHAnsi"/>
        </w:rPr>
      </w:pPr>
      <w:r w:rsidRPr="00332FE7">
        <w:rPr>
          <w:rFonts w:eastAsia="Times New Roman" w:cstheme="minorHAnsi"/>
        </w:rPr>
        <w:t>(E) Western Oregon University.</w:t>
      </w:r>
    </w:p>
    <w:p w14:paraId="44C686CD" w14:textId="77777777" w:rsidR="00751CAB" w:rsidRPr="00332FE7" w:rsidRDefault="00751CAB" w:rsidP="00962287">
      <w:pPr>
        <w:pStyle w:val="ListParagraph"/>
        <w:spacing w:before="100" w:beforeAutospacing="1" w:after="100" w:afterAutospacing="1"/>
        <w:ind w:left="810"/>
        <w:rPr>
          <w:rFonts w:eastAsia="Times New Roman" w:cstheme="minorHAnsi"/>
        </w:rPr>
      </w:pPr>
      <w:r w:rsidRPr="00332FE7">
        <w:rPr>
          <w:rFonts w:eastAsia="Times New Roman" w:cstheme="minorHAnsi"/>
        </w:rPr>
        <w:t>(F) Southern Oregon University.</w:t>
      </w:r>
    </w:p>
    <w:p w14:paraId="0F2E2E42" w14:textId="77777777" w:rsidR="00751CAB" w:rsidRPr="00332FE7" w:rsidRDefault="00751CAB" w:rsidP="00962287">
      <w:pPr>
        <w:pStyle w:val="ListParagraph"/>
        <w:spacing w:before="100" w:beforeAutospacing="1" w:after="100" w:afterAutospacing="1"/>
        <w:ind w:left="810"/>
        <w:rPr>
          <w:rFonts w:eastAsia="Times New Roman" w:cstheme="minorHAnsi"/>
        </w:rPr>
      </w:pPr>
      <w:r w:rsidRPr="00332FE7">
        <w:rPr>
          <w:rFonts w:eastAsia="Times New Roman" w:cstheme="minorHAnsi"/>
        </w:rPr>
        <w:t>(G) Eastern Oregon University.</w:t>
      </w:r>
    </w:p>
    <w:p w14:paraId="79B14DE6" w14:textId="77777777" w:rsidR="00751CAB" w:rsidRPr="00332FE7" w:rsidRDefault="00751CAB" w:rsidP="00962287">
      <w:pPr>
        <w:pStyle w:val="ListParagraph"/>
        <w:spacing w:before="100" w:beforeAutospacing="1" w:after="100" w:afterAutospacing="1"/>
        <w:ind w:left="360"/>
        <w:rPr>
          <w:rFonts w:eastAsia="Times New Roman" w:cstheme="minorHAnsi"/>
        </w:rPr>
      </w:pPr>
      <w:r w:rsidRPr="00332FE7">
        <w:rPr>
          <w:rFonts w:eastAsia="Times New Roman" w:cstheme="minorHAnsi"/>
        </w:rPr>
        <w:t>(c) Oregon Health and Science University.</w:t>
      </w:r>
    </w:p>
    <w:p w14:paraId="22066C0A" w14:textId="77777777" w:rsidR="00751CAB" w:rsidRPr="00332FE7" w:rsidRDefault="00751CAB" w:rsidP="00962287">
      <w:pPr>
        <w:pStyle w:val="ListParagraph"/>
        <w:spacing w:before="100" w:beforeAutospacing="1" w:after="100" w:afterAutospacing="1"/>
        <w:ind w:left="360"/>
        <w:rPr>
          <w:rFonts w:eastAsia="Times New Roman" w:cstheme="minorHAnsi"/>
        </w:rPr>
      </w:pPr>
      <w:r w:rsidRPr="00332FE7">
        <w:rPr>
          <w:rFonts w:eastAsia="Times New Roman" w:cstheme="minorHAnsi"/>
        </w:rPr>
        <w:t>(d) An Oregon-based, generally accredited, not-for-profit institution of higher education.</w:t>
      </w:r>
    </w:p>
    <w:p w14:paraId="158C4016" w14:textId="77777777" w:rsidR="0040707E" w:rsidRPr="00332FE7" w:rsidRDefault="0040707E" w:rsidP="0096228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332FE7">
        <w:rPr>
          <w:rFonts w:eastAsia="Times New Roman" w:cstheme="minorHAnsi"/>
        </w:rPr>
        <w:t xml:space="preserve">“State” means State of Oregon. </w:t>
      </w:r>
    </w:p>
    <w:p w14:paraId="408342C4" w14:textId="3FAB1813" w:rsidR="0072565A" w:rsidRPr="00332FE7" w:rsidRDefault="0072565A" w:rsidP="0072565A">
      <w:pPr>
        <w:spacing w:before="100" w:beforeAutospacing="1" w:after="100" w:afterAutospacing="1"/>
        <w:rPr>
          <w:rFonts w:eastAsia="Times New Roman" w:cstheme="minorHAnsi"/>
        </w:rPr>
      </w:pPr>
      <w:r w:rsidRPr="00332FE7">
        <w:rPr>
          <w:rFonts w:eastAsia="Times New Roman" w:cstheme="minorHAnsi"/>
          <w:b/>
          <w:bCs/>
        </w:rPr>
        <w:lastRenderedPageBreak/>
        <w:t>Statutory/Other Authority:</w:t>
      </w:r>
      <w:r w:rsidRPr="00332FE7">
        <w:rPr>
          <w:rFonts w:eastAsia="Times New Roman" w:cstheme="minorHAnsi"/>
        </w:rPr>
        <w:t> </w:t>
      </w:r>
      <w:r w:rsidR="004E7CC9" w:rsidRPr="00332FE7">
        <w:rPr>
          <w:rFonts w:eastAsia="Times New Roman" w:cstheme="minorHAnsi"/>
        </w:rPr>
        <w:t>ORS 336.101</w:t>
      </w:r>
      <w:r w:rsidRPr="00332FE7">
        <w:rPr>
          <w:rFonts w:eastAsia="Times New Roman" w:cstheme="minorHAnsi"/>
        </w:rPr>
        <w:br/>
      </w:r>
      <w:r w:rsidRPr="00332FE7">
        <w:rPr>
          <w:rFonts w:eastAsia="Times New Roman" w:cstheme="minorHAnsi"/>
          <w:b/>
          <w:bCs/>
        </w:rPr>
        <w:t xml:space="preserve">Statutes/Other </w:t>
      </w:r>
      <w:proofErr w:type="gramStart"/>
      <w:r w:rsidRPr="00332FE7">
        <w:rPr>
          <w:rFonts w:eastAsia="Times New Roman" w:cstheme="minorHAnsi"/>
          <w:b/>
          <w:bCs/>
        </w:rPr>
        <w:t>Implemented:</w:t>
      </w:r>
      <w:proofErr w:type="gramEnd"/>
      <w:r w:rsidRPr="00332FE7">
        <w:rPr>
          <w:rFonts w:eastAsia="Times New Roman" w:cstheme="minorHAnsi"/>
        </w:rPr>
        <w:t> </w:t>
      </w:r>
      <w:r w:rsidR="004E7CC9" w:rsidRPr="00332FE7">
        <w:rPr>
          <w:rFonts w:eastAsia="Times New Roman" w:cstheme="minorHAnsi"/>
        </w:rPr>
        <w:t>ORS 336.104</w:t>
      </w:r>
      <w:r w:rsidRPr="00332FE7">
        <w:rPr>
          <w:rFonts w:eastAsia="Times New Roman" w:cstheme="minorHAnsi"/>
        </w:rPr>
        <w:br/>
      </w:r>
      <w:r w:rsidRPr="00332FE7">
        <w:rPr>
          <w:rFonts w:eastAsia="Times New Roman" w:cstheme="minorHAnsi"/>
        </w:rPr>
        <w:br/>
      </w:r>
    </w:p>
    <w:p w14:paraId="06A52A94" w14:textId="07F438FC" w:rsidR="0072565A" w:rsidRPr="00332FE7" w:rsidRDefault="00DC4AEE" w:rsidP="0072565A">
      <w:pPr>
        <w:spacing w:before="100" w:beforeAutospacing="1" w:after="100" w:afterAutospacing="1"/>
        <w:rPr>
          <w:rFonts w:eastAsia="Times New Roman" w:cstheme="minorHAnsi"/>
        </w:rPr>
      </w:pPr>
      <w:hyperlink r:id="rId12" w:history="1">
        <w:r w:rsidR="0072565A" w:rsidRPr="00332FE7">
          <w:rPr>
            <w:rFonts w:eastAsia="Times New Roman" w:cstheme="minorHAnsi"/>
            <w:b/>
            <w:bCs/>
            <w:color w:val="0000FF"/>
            <w:u w:val="single"/>
          </w:rPr>
          <w:t>414-800-0010</w:t>
        </w:r>
      </w:hyperlink>
      <w:r w:rsidR="0072565A" w:rsidRPr="00332FE7">
        <w:rPr>
          <w:rFonts w:eastAsia="Times New Roman" w:cstheme="minorHAnsi"/>
        </w:rPr>
        <w:br/>
      </w:r>
      <w:r w:rsidR="0072565A" w:rsidRPr="00332FE7">
        <w:rPr>
          <w:rFonts w:eastAsia="Times New Roman" w:cstheme="minorHAnsi"/>
          <w:b/>
          <w:bCs/>
        </w:rPr>
        <w:t xml:space="preserve">Purpose </w:t>
      </w:r>
    </w:p>
    <w:p w14:paraId="095F2D49" w14:textId="3F9F16D2" w:rsidR="0072565A" w:rsidRPr="00332FE7" w:rsidRDefault="0072565A" w:rsidP="0072565A">
      <w:pPr>
        <w:spacing w:before="100" w:beforeAutospacing="1" w:after="100" w:afterAutospacing="1"/>
        <w:rPr>
          <w:rFonts w:eastAsia="Times New Roman" w:cstheme="minorHAnsi"/>
        </w:rPr>
      </w:pPr>
      <w:r w:rsidRPr="00332FE7">
        <w:rPr>
          <w:rFonts w:eastAsia="Times New Roman" w:cstheme="minorHAnsi"/>
        </w:rPr>
        <w:t xml:space="preserve">(1) The </w:t>
      </w:r>
      <w:r w:rsidR="00CD2037" w:rsidRPr="00332FE7">
        <w:rPr>
          <w:rFonts w:eastAsia="Times New Roman" w:cstheme="minorHAnsi"/>
        </w:rPr>
        <w:t>Early Learning Kindergarten Readiness Partnership and Innovation</w:t>
      </w:r>
      <w:r w:rsidR="0040707E" w:rsidRPr="00332FE7">
        <w:rPr>
          <w:rFonts w:eastAsia="Times New Roman" w:cstheme="minorHAnsi"/>
        </w:rPr>
        <w:t xml:space="preserve"> (KPI)</w:t>
      </w:r>
      <w:r w:rsidR="00CD2037" w:rsidRPr="00332FE7">
        <w:rPr>
          <w:rFonts w:eastAsia="Times New Roman" w:cstheme="minorHAnsi"/>
        </w:rPr>
        <w:t xml:space="preserve"> Program is established</w:t>
      </w:r>
      <w:r w:rsidR="00065083" w:rsidRPr="00332FE7">
        <w:rPr>
          <w:rFonts w:eastAsia="Times New Roman" w:cstheme="minorHAnsi"/>
        </w:rPr>
        <w:t>.</w:t>
      </w:r>
      <w:r w:rsidR="00447A81" w:rsidRPr="00332FE7">
        <w:rPr>
          <w:rFonts w:eastAsia="Times New Roman" w:cstheme="minorHAnsi"/>
        </w:rPr>
        <w:t xml:space="preserve"> </w:t>
      </w:r>
      <w:r w:rsidR="00447A81" w:rsidRPr="00332FE7">
        <w:rPr>
          <w:rFonts w:cstheme="minorHAnsi"/>
        </w:rPr>
        <w:t xml:space="preserve">The KPI </w:t>
      </w:r>
      <w:proofErr w:type="gramStart"/>
      <w:r w:rsidR="00447A81" w:rsidRPr="00332FE7">
        <w:rPr>
          <w:rFonts w:cstheme="minorHAnsi"/>
        </w:rPr>
        <w:t>is designed</w:t>
      </w:r>
      <w:proofErr w:type="gramEnd"/>
      <w:r w:rsidR="00447A81" w:rsidRPr="00332FE7">
        <w:rPr>
          <w:rFonts w:cstheme="minorHAnsi"/>
        </w:rPr>
        <w:t xml:space="preserve"> to establish scalable and replicable models</w:t>
      </w:r>
      <w:r w:rsidR="003E3959">
        <w:rPr>
          <w:rFonts w:cstheme="minorHAnsi"/>
        </w:rPr>
        <w:t xml:space="preserve"> providing early childhood services</w:t>
      </w:r>
      <w:r w:rsidR="00447A81" w:rsidRPr="00332FE7">
        <w:rPr>
          <w:rFonts w:cstheme="minorHAnsi"/>
        </w:rPr>
        <w:t xml:space="preserve"> for P-3 alignment at the local level, with a focus on </w:t>
      </w:r>
      <w:r w:rsidR="003E3959">
        <w:rPr>
          <w:rFonts w:cstheme="minorHAnsi"/>
        </w:rPr>
        <w:t xml:space="preserve">funding </w:t>
      </w:r>
      <w:r w:rsidR="00447A81" w:rsidRPr="00332FE7">
        <w:rPr>
          <w:rFonts w:cstheme="minorHAnsi"/>
        </w:rPr>
        <w:t>shared professional development for early learning providers and kindergarten teachers</w:t>
      </w:r>
      <w:r w:rsidR="003E3959">
        <w:rPr>
          <w:rFonts w:cstheme="minorHAnsi"/>
        </w:rPr>
        <w:t xml:space="preserve">; </w:t>
      </w:r>
      <w:r w:rsidR="00447A81" w:rsidRPr="00332FE7">
        <w:rPr>
          <w:rFonts w:cstheme="minorHAnsi"/>
        </w:rPr>
        <w:t>supporting successful transitions into kindergarten for all children</w:t>
      </w:r>
      <w:r w:rsidR="003E3959">
        <w:rPr>
          <w:rFonts w:cstheme="minorHAnsi"/>
        </w:rPr>
        <w:t>;</w:t>
      </w:r>
      <w:r w:rsidR="00447A81" w:rsidRPr="00332FE7">
        <w:rPr>
          <w:rFonts w:cstheme="minorHAnsi"/>
        </w:rPr>
        <w:t xml:space="preserve"> </w:t>
      </w:r>
      <w:r w:rsidR="003E3959">
        <w:rPr>
          <w:rFonts w:cstheme="minorHAnsi"/>
        </w:rPr>
        <w:t>or</w:t>
      </w:r>
      <w:r w:rsidR="00447A81" w:rsidRPr="00332FE7">
        <w:rPr>
          <w:rFonts w:cstheme="minorHAnsi"/>
        </w:rPr>
        <w:t xml:space="preserve"> engaging families as equal partners in children’s learning and development.</w:t>
      </w:r>
      <w:r w:rsidR="00065083" w:rsidRPr="00332FE7">
        <w:rPr>
          <w:rFonts w:eastAsia="Times New Roman" w:cstheme="minorHAnsi"/>
        </w:rPr>
        <w:t xml:space="preserve"> KPI </w:t>
      </w:r>
      <w:r w:rsidR="00984238" w:rsidRPr="00332FE7">
        <w:rPr>
          <w:rFonts w:eastAsia="Times New Roman" w:cstheme="minorHAnsi"/>
        </w:rPr>
        <w:t>funding</w:t>
      </w:r>
      <w:r w:rsidR="00447A81" w:rsidRPr="00332FE7">
        <w:rPr>
          <w:rFonts w:eastAsia="Times New Roman" w:cstheme="minorHAnsi"/>
        </w:rPr>
        <w:t xml:space="preserve"> invest</w:t>
      </w:r>
      <w:r w:rsidR="00984238" w:rsidRPr="00332FE7">
        <w:rPr>
          <w:rFonts w:eastAsia="Times New Roman" w:cstheme="minorHAnsi"/>
        </w:rPr>
        <w:t>s</w:t>
      </w:r>
      <w:r w:rsidR="00447A81" w:rsidRPr="00332FE7">
        <w:rPr>
          <w:rFonts w:eastAsia="Times New Roman" w:cstheme="minorHAnsi"/>
        </w:rPr>
        <w:t xml:space="preserve"> in </w:t>
      </w:r>
      <w:r w:rsidR="008904E5" w:rsidRPr="00332FE7">
        <w:rPr>
          <w:rFonts w:eastAsia="Times New Roman" w:cstheme="minorHAnsi"/>
        </w:rPr>
        <w:t>in resources for priority populations, as identified in</w:t>
      </w:r>
      <w:r w:rsidR="00A549F9">
        <w:rPr>
          <w:rFonts w:eastAsia="Times New Roman" w:cstheme="minorHAnsi"/>
        </w:rPr>
        <w:t xml:space="preserve"> Early Care &amp; Education Sector</w:t>
      </w:r>
      <w:r w:rsidR="008904E5" w:rsidRPr="00332FE7">
        <w:rPr>
          <w:rFonts w:eastAsia="Times New Roman" w:cstheme="minorHAnsi"/>
        </w:rPr>
        <w:t xml:space="preserve"> </w:t>
      </w:r>
      <w:r w:rsidR="00A549F9">
        <w:rPr>
          <w:rFonts w:eastAsia="Times New Roman" w:cstheme="minorHAnsi"/>
        </w:rPr>
        <w:t>P</w:t>
      </w:r>
      <w:r w:rsidR="008904E5" w:rsidRPr="00332FE7">
        <w:rPr>
          <w:rFonts w:eastAsia="Times New Roman" w:cstheme="minorHAnsi"/>
        </w:rPr>
        <w:t>lans developed by Early Learning Hubs</w:t>
      </w:r>
      <w:r w:rsidR="00C94F4A" w:rsidRPr="00332FE7">
        <w:rPr>
          <w:rFonts w:eastAsia="Times New Roman" w:cstheme="minorHAnsi"/>
        </w:rPr>
        <w:t xml:space="preserve">, or other plans as </w:t>
      </w:r>
      <w:r w:rsidR="00BD3BA6" w:rsidRPr="00332FE7">
        <w:rPr>
          <w:rFonts w:eastAsia="Times New Roman" w:cstheme="minorHAnsi"/>
        </w:rPr>
        <w:t>approved by the Division.</w:t>
      </w:r>
    </w:p>
    <w:p w14:paraId="235901DE" w14:textId="4AB3D3CE" w:rsidR="0072565A" w:rsidRPr="00332FE7" w:rsidRDefault="006B5B98" w:rsidP="0072565A">
      <w:pPr>
        <w:spacing w:before="100" w:beforeAutospacing="1" w:after="100" w:afterAutospacing="1"/>
        <w:rPr>
          <w:rFonts w:eastAsia="Times New Roman" w:cstheme="minorHAnsi"/>
        </w:rPr>
      </w:pPr>
      <w:r w:rsidRPr="00332FE7">
        <w:rPr>
          <w:rFonts w:eastAsia="Times New Roman" w:cstheme="minorHAnsi"/>
        </w:rPr>
        <w:t xml:space="preserve">(2) In addition to the criteria established in </w:t>
      </w:r>
      <w:hyperlink r:id="rId13" w:history="1">
        <w:r w:rsidRPr="00332FE7">
          <w:rPr>
            <w:rStyle w:val="Hyperlink"/>
            <w:rFonts w:eastAsia="Times New Roman" w:cstheme="minorHAnsi"/>
          </w:rPr>
          <w:t>ORS 336.101(2),</w:t>
        </w:r>
      </w:hyperlink>
      <w:r w:rsidRPr="00332FE7">
        <w:rPr>
          <w:rFonts w:eastAsia="Times New Roman" w:cstheme="minorHAnsi"/>
        </w:rPr>
        <w:t xml:space="preserve"> t</w:t>
      </w:r>
      <w:r w:rsidR="0072565A" w:rsidRPr="00332FE7">
        <w:rPr>
          <w:rFonts w:eastAsia="Times New Roman" w:cstheme="minorHAnsi"/>
        </w:rPr>
        <w:t xml:space="preserve">he purpose of </w:t>
      </w:r>
      <w:r w:rsidR="0040707E" w:rsidRPr="00332FE7">
        <w:rPr>
          <w:rFonts w:eastAsia="Times New Roman" w:cstheme="minorHAnsi"/>
        </w:rPr>
        <w:t>KPI</w:t>
      </w:r>
      <w:r w:rsidR="0072565A" w:rsidRPr="00332FE7">
        <w:rPr>
          <w:rFonts w:eastAsia="Times New Roman" w:cstheme="minorHAnsi"/>
        </w:rPr>
        <w:t xml:space="preserve"> </w:t>
      </w:r>
      <w:r w:rsidR="00984238" w:rsidRPr="00332FE7">
        <w:rPr>
          <w:rFonts w:eastAsia="Times New Roman" w:cstheme="minorHAnsi"/>
        </w:rPr>
        <w:t>funding</w:t>
      </w:r>
      <w:r w:rsidR="008904E5" w:rsidRPr="00332FE7">
        <w:rPr>
          <w:rFonts w:eastAsia="Times New Roman" w:cstheme="minorHAnsi"/>
        </w:rPr>
        <w:t xml:space="preserve"> is</w:t>
      </w:r>
      <w:r w:rsidR="002A2BC4" w:rsidRPr="00332FE7">
        <w:rPr>
          <w:rFonts w:eastAsia="Times New Roman" w:cstheme="minorHAnsi"/>
        </w:rPr>
        <w:t xml:space="preserve"> </w:t>
      </w:r>
      <w:r w:rsidR="008904E5" w:rsidRPr="00332FE7">
        <w:rPr>
          <w:rFonts w:eastAsia="Times New Roman" w:cstheme="minorHAnsi"/>
        </w:rPr>
        <w:t>to support children in</w:t>
      </w:r>
      <w:r w:rsidR="002A2BC4" w:rsidRPr="00332FE7">
        <w:rPr>
          <w:rFonts w:eastAsia="Times New Roman" w:cstheme="minorHAnsi"/>
        </w:rPr>
        <w:t xml:space="preserve"> successfully transition</w:t>
      </w:r>
      <w:r w:rsidR="008904E5" w:rsidRPr="00332FE7">
        <w:rPr>
          <w:rFonts w:eastAsia="Times New Roman" w:cstheme="minorHAnsi"/>
        </w:rPr>
        <w:t>ing</w:t>
      </w:r>
      <w:r w:rsidR="002A2BC4" w:rsidRPr="00332FE7">
        <w:rPr>
          <w:rFonts w:eastAsia="Times New Roman" w:cstheme="minorHAnsi"/>
        </w:rPr>
        <w:t xml:space="preserve"> </w:t>
      </w:r>
      <w:r w:rsidR="008904E5" w:rsidRPr="00332FE7">
        <w:rPr>
          <w:rFonts w:eastAsia="Times New Roman" w:cstheme="minorHAnsi"/>
        </w:rPr>
        <w:t xml:space="preserve">from early learning </w:t>
      </w:r>
      <w:r w:rsidR="002A2BC4" w:rsidRPr="00332FE7">
        <w:rPr>
          <w:rFonts w:eastAsia="Times New Roman" w:cstheme="minorHAnsi"/>
        </w:rPr>
        <w:t>into kindergarten through</w:t>
      </w:r>
      <w:r w:rsidR="0072565A" w:rsidRPr="00332FE7">
        <w:rPr>
          <w:rFonts w:eastAsia="Times New Roman" w:cstheme="minorHAnsi"/>
        </w:rPr>
        <w:t>:</w:t>
      </w:r>
    </w:p>
    <w:p w14:paraId="16CA3CB5" w14:textId="4DC266CD" w:rsidR="002A2BC4" w:rsidRPr="00332FE7" w:rsidRDefault="0072565A" w:rsidP="002A2BC4">
      <w:pPr>
        <w:spacing w:before="100" w:beforeAutospacing="1" w:after="100" w:afterAutospacing="1"/>
        <w:ind w:left="720"/>
        <w:rPr>
          <w:rFonts w:eastAsia="Times New Roman" w:cstheme="minorHAnsi"/>
        </w:rPr>
      </w:pPr>
      <w:r w:rsidRPr="00332FE7">
        <w:rPr>
          <w:rFonts w:eastAsia="Times New Roman" w:cstheme="minorHAnsi"/>
        </w:rPr>
        <w:t xml:space="preserve">(a) </w:t>
      </w:r>
      <w:r w:rsidR="002A2BC4" w:rsidRPr="00332FE7">
        <w:rPr>
          <w:rFonts w:eastAsia="Times New Roman" w:cstheme="minorHAnsi"/>
        </w:rPr>
        <w:t xml:space="preserve">Building cross-sector system alignment between early learning and K-12, which includes, but is not limited </w:t>
      </w:r>
      <w:proofErr w:type="gramStart"/>
      <w:r w:rsidR="002A2BC4" w:rsidRPr="00332FE7">
        <w:rPr>
          <w:rFonts w:eastAsia="Times New Roman" w:cstheme="minorHAnsi"/>
        </w:rPr>
        <w:t>to</w:t>
      </w:r>
      <w:proofErr w:type="gramEnd"/>
      <w:r w:rsidR="002A2BC4" w:rsidRPr="00332FE7">
        <w:rPr>
          <w:rFonts w:eastAsia="Times New Roman" w:cstheme="minorHAnsi"/>
        </w:rPr>
        <w:t>:</w:t>
      </w:r>
    </w:p>
    <w:p w14:paraId="28A96BE7" w14:textId="3E2D4828" w:rsidR="0072565A" w:rsidRPr="00332FE7" w:rsidRDefault="00800449" w:rsidP="002A2BC4">
      <w:pPr>
        <w:spacing w:before="100" w:beforeAutospacing="1" w:after="100" w:afterAutospacing="1"/>
        <w:ind w:left="1440"/>
        <w:rPr>
          <w:rFonts w:eastAsia="Times New Roman" w:cstheme="minorHAnsi"/>
        </w:rPr>
      </w:pPr>
      <w:r>
        <w:rPr>
          <w:rFonts w:eastAsia="Times New Roman" w:cstheme="minorHAnsi"/>
        </w:rPr>
        <w:t>(A</w:t>
      </w:r>
      <w:r w:rsidR="002A2BC4" w:rsidRPr="00332FE7">
        <w:rPr>
          <w:rFonts w:eastAsia="Times New Roman" w:cstheme="minorHAnsi"/>
        </w:rPr>
        <w:t>) Shared professional development for early</w:t>
      </w:r>
      <w:r w:rsidR="00984238" w:rsidRPr="00332FE7">
        <w:rPr>
          <w:rFonts w:eastAsia="Times New Roman" w:cstheme="minorHAnsi"/>
        </w:rPr>
        <w:t xml:space="preserve"> </w:t>
      </w:r>
      <w:r w:rsidR="00E52C36" w:rsidRPr="00332FE7">
        <w:rPr>
          <w:rFonts w:eastAsia="Times New Roman" w:cstheme="minorHAnsi"/>
        </w:rPr>
        <w:t>childhood educators</w:t>
      </w:r>
      <w:r w:rsidR="002A2BC4" w:rsidRPr="00332FE7">
        <w:rPr>
          <w:rFonts w:eastAsia="Times New Roman" w:cstheme="minorHAnsi"/>
        </w:rPr>
        <w:t xml:space="preserve"> and </w:t>
      </w:r>
      <w:r w:rsidR="00E52C36" w:rsidRPr="00332FE7">
        <w:rPr>
          <w:rFonts w:eastAsia="Times New Roman" w:cstheme="minorHAnsi"/>
        </w:rPr>
        <w:t>K-12 educators</w:t>
      </w:r>
      <w:proofErr w:type="gramStart"/>
      <w:r w:rsidR="002A2BC4" w:rsidRPr="00332FE7">
        <w:rPr>
          <w:rFonts w:eastAsia="Times New Roman" w:cstheme="minorHAnsi"/>
        </w:rPr>
        <w:t>;</w:t>
      </w:r>
      <w:proofErr w:type="gramEnd"/>
      <w:r w:rsidR="008904E5" w:rsidRPr="00332FE7">
        <w:rPr>
          <w:rFonts w:eastAsia="Times New Roman" w:cstheme="minorHAnsi"/>
        </w:rPr>
        <w:t xml:space="preserve"> </w:t>
      </w:r>
    </w:p>
    <w:p w14:paraId="14A58A02" w14:textId="5B90EB4C" w:rsidR="008904E5" w:rsidRPr="00332FE7" w:rsidRDefault="00BC597F" w:rsidP="002A2BC4">
      <w:pPr>
        <w:spacing w:before="100" w:beforeAutospacing="1" w:after="100" w:afterAutospacing="1"/>
        <w:ind w:left="1440"/>
        <w:rPr>
          <w:rFonts w:eastAsia="Times New Roman" w:cstheme="minorHAnsi"/>
        </w:rPr>
      </w:pPr>
      <w:r w:rsidRPr="00332FE7">
        <w:rPr>
          <w:rFonts w:eastAsia="Times New Roman" w:cstheme="minorHAnsi"/>
        </w:rPr>
        <w:t>(</w:t>
      </w:r>
      <w:r w:rsidR="00800449">
        <w:rPr>
          <w:rFonts w:eastAsia="Times New Roman" w:cstheme="minorHAnsi"/>
        </w:rPr>
        <w:t>B</w:t>
      </w:r>
      <w:r w:rsidRPr="00332FE7">
        <w:rPr>
          <w:rFonts w:eastAsia="Times New Roman" w:cstheme="minorHAnsi"/>
        </w:rPr>
        <w:t>) Developing shared</w:t>
      </w:r>
      <w:r w:rsidR="008904E5" w:rsidRPr="00332FE7">
        <w:rPr>
          <w:rFonts w:eastAsia="Times New Roman" w:cstheme="minorHAnsi"/>
        </w:rPr>
        <w:t xml:space="preserve"> understanding of </w:t>
      </w:r>
      <w:r w:rsidR="00E52C36" w:rsidRPr="00332FE7">
        <w:rPr>
          <w:rFonts w:eastAsia="Times New Roman" w:cstheme="minorHAnsi"/>
        </w:rPr>
        <w:t xml:space="preserve">inclusive, </w:t>
      </w:r>
      <w:r w:rsidR="008904E5" w:rsidRPr="00332FE7">
        <w:rPr>
          <w:rFonts w:eastAsia="Times New Roman" w:cstheme="minorHAnsi"/>
        </w:rPr>
        <w:t xml:space="preserve">culturally </w:t>
      </w:r>
      <w:r w:rsidR="00E52C36" w:rsidRPr="00332FE7">
        <w:rPr>
          <w:rFonts w:eastAsia="Times New Roman" w:cstheme="minorHAnsi"/>
        </w:rPr>
        <w:t xml:space="preserve">relevant, </w:t>
      </w:r>
      <w:r w:rsidR="008904E5" w:rsidRPr="00332FE7">
        <w:rPr>
          <w:rFonts w:eastAsia="Times New Roman" w:cstheme="minorHAnsi"/>
        </w:rPr>
        <w:t xml:space="preserve">and developmentally appropriate programming between early learning and </w:t>
      </w:r>
      <w:r w:rsidR="00E52C36" w:rsidRPr="00332FE7">
        <w:rPr>
          <w:rFonts w:eastAsia="Times New Roman" w:cstheme="minorHAnsi"/>
        </w:rPr>
        <w:t>K-12</w:t>
      </w:r>
      <w:r w:rsidR="008904E5" w:rsidRPr="00332FE7">
        <w:rPr>
          <w:rFonts w:eastAsia="Times New Roman" w:cstheme="minorHAnsi"/>
        </w:rPr>
        <w:t xml:space="preserve">; </w:t>
      </w:r>
    </w:p>
    <w:p w14:paraId="21C7A95D" w14:textId="29989321" w:rsidR="002A2BC4" w:rsidRPr="00332FE7" w:rsidRDefault="00800449" w:rsidP="002A2BC4">
      <w:pPr>
        <w:spacing w:before="100" w:beforeAutospacing="1" w:after="100" w:afterAutospacing="1"/>
        <w:ind w:left="1440"/>
        <w:rPr>
          <w:rFonts w:eastAsia="Times New Roman" w:cstheme="minorHAnsi"/>
        </w:rPr>
      </w:pPr>
      <w:r>
        <w:rPr>
          <w:rFonts w:eastAsia="Times New Roman" w:cstheme="minorHAnsi"/>
        </w:rPr>
        <w:t>(C</w:t>
      </w:r>
      <w:r w:rsidR="002A2BC4" w:rsidRPr="00332FE7">
        <w:rPr>
          <w:rFonts w:eastAsia="Times New Roman" w:cstheme="minorHAnsi"/>
        </w:rPr>
        <w:t xml:space="preserve">) Alignment of education standards between early education and </w:t>
      </w:r>
      <w:r w:rsidR="00E52C36" w:rsidRPr="00332FE7">
        <w:rPr>
          <w:rFonts w:eastAsia="Times New Roman" w:cstheme="minorHAnsi"/>
        </w:rPr>
        <w:t>K-12</w:t>
      </w:r>
      <w:r w:rsidR="002A2BC4" w:rsidRPr="00332FE7">
        <w:rPr>
          <w:rFonts w:eastAsia="Times New Roman" w:cstheme="minorHAnsi"/>
        </w:rPr>
        <w:t>; or</w:t>
      </w:r>
    </w:p>
    <w:p w14:paraId="556D21D8" w14:textId="0B3A1CE5" w:rsidR="002A2BC4" w:rsidRPr="00332FE7" w:rsidRDefault="00800449" w:rsidP="002A2BC4">
      <w:pPr>
        <w:spacing w:before="100" w:beforeAutospacing="1" w:after="100" w:afterAutospacing="1"/>
        <w:ind w:left="1440"/>
        <w:rPr>
          <w:rFonts w:eastAsia="Times New Roman" w:cstheme="minorHAnsi"/>
        </w:rPr>
      </w:pPr>
      <w:r>
        <w:rPr>
          <w:rFonts w:eastAsia="Times New Roman" w:cstheme="minorHAnsi"/>
        </w:rPr>
        <w:t>(D</w:t>
      </w:r>
      <w:r w:rsidR="002A2BC4" w:rsidRPr="00332FE7">
        <w:rPr>
          <w:rFonts w:eastAsia="Times New Roman" w:cstheme="minorHAnsi"/>
        </w:rPr>
        <w:t xml:space="preserve">) Alignment of teaching and guidance practices between early </w:t>
      </w:r>
      <w:r w:rsidR="00E52C36" w:rsidRPr="00332FE7">
        <w:rPr>
          <w:rFonts w:eastAsia="Times New Roman" w:cstheme="minorHAnsi"/>
        </w:rPr>
        <w:t>childhood educators</w:t>
      </w:r>
      <w:r w:rsidR="002A2BC4" w:rsidRPr="00332FE7">
        <w:rPr>
          <w:rFonts w:eastAsia="Times New Roman" w:cstheme="minorHAnsi"/>
        </w:rPr>
        <w:t xml:space="preserve"> and </w:t>
      </w:r>
      <w:r w:rsidR="00E52C36" w:rsidRPr="00332FE7">
        <w:rPr>
          <w:rFonts w:eastAsia="Times New Roman" w:cstheme="minorHAnsi"/>
        </w:rPr>
        <w:t>K-12 educators</w:t>
      </w:r>
      <w:r w:rsidR="006B5B98" w:rsidRPr="00332FE7">
        <w:rPr>
          <w:rFonts w:eastAsia="Times New Roman" w:cstheme="minorHAnsi"/>
        </w:rPr>
        <w:t>.</w:t>
      </w:r>
    </w:p>
    <w:p w14:paraId="14A85514" w14:textId="24DA6DAB" w:rsidR="00BD3BA6" w:rsidRPr="00332FE7" w:rsidRDefault="00BD3BA6" w:rsidP="00447A81">
      <w:pPr>
        <w:spacing w:before="100" w:beforeAutospacing="1" w:after="100" w:afterAutospacing="1"/>
        <w:ind w:left="720"/>
        <w:rPr>
          <w:rFonts w:eastAsia="Times New Roman" w:cstheme="minorHAnsi"/>
        </w:rPr>
      </w:pPr>
      <w:r w:rsidRPr="00332FE7">
        <w:rPr>
          <w:rFonts w:eastAsia="Times New Roman" w:cstheme="minorHAnsi"/>
        </w:rPr>
        <w:t xml:space="preserve">(b) KPI </w:t>
      </w:r>
      <w:r w:rsidR="00984238" w:rsidRPr="00332FE7">
        <w:rPr>
          <w:rFonts w:eastAsia="Times New Roman" w:cstheme="minorHAnsi"/>
        </w:rPr>
        <w:t>funding</w:t>
      </w:r>
      <w:r w:rsidRPr="00332FE7">
        <w:rPr>
          <w:rFonts w:eastAsia="Times New Roman" w:cstheme="minorHAnsi"/>
        </w:rPr>
        <w:t xml:space="preserve"> </w:t>
      </w:r>
      <w:proofErr w:type="gramStart"/>
      <w:r w:rsidRPr="00332FE7">
        <w:rPr>
          <w:rFonts w:eastAsia="Times New Roman" w:cstheme="minorHAnsi"/>
        </w:rPr>
        <w:t>may be used</w:t>
      </w:r>
      <w:proofErr w:type="gramEnd"/>
      <w:r w:rsidRPr="00332FE7">
        <w:rPr>
          <w:rFonts w:eastAsia="Times New Roman" w:cstheme="minorHAnsi"/>
        </w:rPr>
        <w:t xml:space="preserve"> to establish plans to provide early childhood services. </w:t>
      </w:r>
      <w:r w:rsidR="005F15A4" w:rsidRPr="00332FE7">
        <w:rPr>
          <w:rFonts w:eastAsia="Times New Roman" w:cstheme="minorHAnsi"/>
        </w:rPr>
        <w:t>Implementation outlines</w:t>
      </w:r>
      <w:r w:rsidRPr="00332FE7">
        <w:rPr>
          <w:rFonts w:eastAsia="Times New Roman" w:cstheme="minorHAnsi"/>
        </w:rPr>
        <w:t xml:space="preserve">, established timelines, and evaluation models </w:t>
      </w:r>
      <w:proofErr w:type="gramStart"/>
      <w:r w:rsidRPr="00332FE7">
        <w:rPr>
          <w:rFonts w:eastAsia="Times New Roman" w:cstheme="minorHAnsi"/>
        </w:rPr>
        <w:t xml:space="preserve">must be approved by the Early Learning Hub and outlined in agreements between </w:t>
      </w:r>
      <w:r w:rsidR="005F15A4" w:rsidRPr="00332FE7">
        <w:rPr>
          <w:rFonts w:eastAsia="Times New Roman" w:cstheme="minorHAnsi"/>
        </w:rPr>
        <w:t>fund recipients</w:t>
      </w:r>
      <w:r w:rsidRPr="00332FE7">
        <w:rPr>
          <w:rFonts w:eastAsia="Times New Roman" w:cstheme="minorHAnsi"/>
        </w:rPr>
        <w:t xml:space="preserve"> and </w:t>
      </w:r>
      <w:r w:rsidR="00A549F9">
        <w:rPr>
          <w:rFonts w:eastAsia="Times New Roman" w:cstheme="minorHAnsi"/>
        </w:rPr>
        <w:t>Early Learning Hub</w:t>
      </w:r>
      <w:r w:rsidRPr="00332FE7">
        <w:rPr>
          <w:rFonts w:eastAsia="Times New Roman" w:cstheme="minorHAnsi"/>
        </w:rPr>
        <w:t>s</w:t>
      </w:r>
      <w:proofErr w:type="gramEnd"/>
      <w:r w:rsidRPr="00332FE7">
        <w:rPr>
          <w:rFonts w:eastAsia="Times New Roman" w:cstheme="minorHAnsi"/>
        </w:rPr>
        <w:t>.</w:t>
      </w:r>
    </w:p>
    <w:p w14:paraId="1BCD6733" w14:textId="303A668C" w:rsidR="0072565A" w:rsidRPr="00332FE7" w:rsidRDefault="00DC4AEE" w:rsidP="0072565A">
      <w:pPr>
        <w:spacing w:before="100" w:beforeAutospacing="1" w:after="100" w:afterAutospacing="1"/>
        <w:rPr>
          <w:rFonts w:eastAsia="Times New Roman" w:cstheme="minorHAnsi"/>
        </w:rPr>
      </w:pPr>
      <w:hyperlink r:id="rId14" w:history="1">
        <w:r w:rsidR="0072565A" w:rsidRPr="00332FE7">
          <w:rPr>
            <w:rFonts w:eastAsia="Times New Roman" w:cstheme="minorHAnsi"/>
            <w:b/>
            <w:bCs/>
            <w:color w:val="0000FF"/>
            <w:u w:val="single"/>
          </w:rPr>
          <w:t>414-800-0015</w:t>
        </w:r>
      </w:hyperlink>
      <w:r w:rsidR="0072565A" w:rsidRPr="00332FE7">
        <w:rPr>
          <w:rFonts w:eastAsia="Times New Roman" w:cstheme="minorHAnsi"/>
        </w:rPr>
        <w:br/>
      </w:r>
      <w:r w:rsidR="00F541AE" w:rsidRPr="00332FE7">
        <w:rPr>
          <w:rFonts w:eastAsia="Times New Roman" w:cstheme="minorHAnsi"/>
          <w:b/>
          <w:bCs/>
        </w:rPr>
        <w:t>Early Learning Kindergarten Readiness Partnership and Innovation Program Application Process</w:t>
      </w:r>
    </w:p>
    <w:p w14:paraId="4F5B8D32" w14:textId="7EE2DB07" w:rsidR="00F541AE" w:rsidRPr="00332FE7" w:rsidRDefault="00F541AE" w:rsidP="00962287">
      <w:pPr>
        <w:pStyle w:val="ListParagraph"/>
        <w:spacing w:before="100" w:beforeAutospacing="1" w:after="100" w:afterAutospacing="1"/>
        <w:ind w:left="270"/>
        <w:rPr>
          <w:rFonts w:eastAsia="Times New Roman" w:cstheme="minorHAnsi"/>
        </w:rPr>
      </w:pPr>
      <w:r w:rsidRPr="00332FE7">
        <w:rPr>
          <w:rFonts w:eastAsia="Times New Roman" w:cstheme="minorHAnsi"/>
        </w:rPr>
        <w:lastRenderedPageBreak/>
        <w:t>Early Learning Hubs recruit and select eligible entities</w:t>
      </w:r>
      <w:r w:rsidR="00704426" w:rsidRPr="00332FE7">
        <w:rPr>
          <w:rFonts w:eastAsia="Times New Roman" w:cstheme="minorHAnsi"/>
        </w:rPr>
        <w:t xml:space="preserve"> pu</w:t>
      </w:r>
      <w:r w:rsidR="00487007" w:rsidRPr="00332FE7">
        <w:rPr>
          <w:rFonts w:eastAsia="Times New Roman" w:cstheme="minorHAnsi"/>
        </w:rPr>
        <w:t xml:space="preserve">rsuant to </w:t>
      </w:r>
      <w:r w:rsidR="002C747F" w:rsidRPr="00332FE7">
        <w:rPr>
          <w:rFonts w:eastAsia="Times New Roman" w:cstheme="minorHAnsi"/>
        </w:rPr>
        <w:t xml:space="preserve">OAR </w:t>
      </w:r>
      <w:r w:rsidR="00487007" w:rsidRPr="00332FE7">
        <w:rPr>
          <w:rFonts w:eastAsia="Times New Roman" w:cstheme="minorHAnsi"/>
        </w:rPr>
        <w:t>414-800-002</w:t>
      </w:r>
      <w:r w:rsidR="00704426" w:rsidRPr="00332FE7">
        <w:rPr>
          <w:rFonts w:eastAsia="Times New Roman" w:cstheme="minorHAnsi"/>
        </w:rPr>
        <w:t xml:space="preserve">0. Early Learning Hubs must </w:t>
      </w:r>
      <w:r w:rsidR="00E5777C">
        <w:rPr>
          <w:rFonts w:eastAsia="Times New Roman" w:cstheme="minorHAnsi"/>
        </w:rPr>
        <w:t xml:space="preserve">enter into agreements </w:t>
      </w:r>
      <w:r w:rsidR="00704426" w:rsidRPr="00332FE7">
        <w:rPr>
          <w:rFonts w:eastAsia="Times New Roman" w:cstheme="minorHAnsi"/>
        </w:rPr>
        <w:t>with eligible entities</w:t>
      </w:r>
      <w:r w:rsidR="00984238" w:rsidRPr="00332FE7">
        <w:rPr>
          <w:rFonts w:eastAsia="Times New Roman" w:cstheme="minorHAnsi"/>
        </w:rPr>
        <w:t xml:space="preserve"> to provide funding</w:t>
      </w:r>
      <w:r w:rsidRPr="00332FE7">
        <w:rPr>
          <w:rFonts w:eastAsia="Times New Roman" w:cstheme="minorHAnsi"/>
        </w:rPr>
        <w:t xml:space="preserve"> for </w:t>
      </w:r>
      <w:r w:rsidR="0040707E" w:rsidRPr="00332FE7">
        <w:rPr>
          <w:rFonts w:eastAsia="Times New Roman" w:cstheme="minorHAnsi"/>
        </w:rPr>
        <w:t xml:space="preserve">KPI </w:t>
      </w:r>
      <w:r w:rsidRPr="00332FE7">
        <w:rPr>
          <w:rFonts w:eastAsia="Times New Roman" w:cstheme="minorHAnsi"/>
        </w:rPr>
        <w:t xml:space="preserve">programming. </w:t>
      </w:r>
      <w:r w:rsidR="00704426" w:rsidRPr="00332FE7">
        <w:rPr>
          <w:rFonts w:eastAsia="Times New Roman" w:cstheme="minorHAnsi"/>
        </w:rPr>
        <w:t xml:space="preserve"> </w:t>
      </w:r>
    </w:p>
    <w:p w14:paraId="3EDEDBF2" w14:textId="5696A082" w:rsidR="0072565A" w:rsidRPr="00332FE7" w:rsidRDefault="0072565A" w:rsidP="00962287">
      <w:pPr>
        <w:pStyle w:val="ListParagraph"/>
        <w:rPr>
          <w:rFonts w:cstheme="minorHAnsi"/>
        </w:rPr>
      </w:pPr>
    </w:p>
    <w:p w14:paraId="06A8BBBE" w14:textId="77777777" w:rsidR="00DD53A8" w:rsidRPr="00332FE7" w:rsidRDefault="00DC4AEE" w:rsidP="0072565A">
      <w:pPr>
        <w:spacing w:before="100" w:beforeAutospacing="1" w:after="100" w:afterAutospacing="1"/>
        <w:rPr>
          <w:rFonts w:eastAsia="Times New Roman" w:cstheme="minorHAnsi"/>
          <w:b/>
          <w:bCs/>
        </w:rPr>
      </w:pPr>
      <w:hyperlink r:id="rId15" w:history="1">
        <w:r w:rsidR="0072565A" w:rsidRPr="00332FE7">
          <w:rPr>
            <w:rFonts w:eastAsia="Times New Roman" w:cstheme="minorHAnsi"/>
            <w:b/>
            <w:bCs/>
            <w:color w:val="0000FF"/>
            <w:u w:val="single"/>
          </w:rPr>
          <w:t>414-800-0020</w:t>
        </w:r>
      </w:hyperlink>
      <w:r w:rsidR="0072565A" w:rsidRPr="00332FE7">
        <w:rPr>
          <w:rFonts w:eastAsia="Times New Roman" w:cstheme="minorHAnsi"/>
        </w:rPr>
        <w:br/>
      </w:r>
      <w:r w:rsidR="00DD53A8" w:rsidRPr="00332FE7">
        <w:rPr>
          <w:rFonts w:eastAsia="Times New Roman" w:cstheme="minorHAnsi"/>
          <w:b/>
          <w:bCs/>
        </w:rPr>
        <w:t>Eligibility</w:t>
      </w:r>
    </w:p>
    <w:p w14:paraId="12371FEC" w14:textId="70657552" w:rsidR="00DD53A8" w:rsidRPr="00332FE7" w:rsidRDefault="00DD53A8" w:rsidP="0072565A">
      <w:pPr>
        <w:spacing w:before="100" w:beforeAutospacing="1" w:after="100" w:afterAutospacing="1"/>
        <w:rPr>
          <w:rFonts w:eastAsia="Times New Roman" w:cstheme="minorHAnsi"/>
          <w:bCs/>
        </w:rPr>
      </w:pPr>
      <w:r w:rsidRPr="00332FE7">
        <w:rPr>
          <w:rFonts w:eastAsia="Times New Roman" w:cstheme="minorHAnsi"/>
          <w:bCs/>
        </w:rPr>
        <w:t>(1)</w:t>
      </w:r>
      <w:r w:rsidR="00F261D7" w:rsidRPr="00332FE7">
        <w:rPr>
          <w:rFonts w:eastAsia="Times New Roman" w:cstheme="minorHAnsi"/>
          <w:bCs/>
        </w:rPr>
        <w:t xml:space="preserve"> </w:t>
      </w:r>
      <w:r w:rsidRPr="00332FE7">
        <w:rPr>
          <w:rFonts w:eastAsia="Times New Roman" w:cstheme="minorHAnsi"/>
          <w:bCs/>
        </w:rPr>
        <w:t xml:space="preserve">The following types of </w:t>
      </w:r>
      <w:r w:rsidR="0080673F" w:rsidRPr="00332FE7">
        <w:rPr>
          <w:rFonts w:eastAsia="Times New Roman" w:cstheme="minorHAnsi"/>
          <w:bCs/>
        </w:rPr>
        <w:t>organizations may</w:t>
      </w:r>
      <w:r w:rsidRPr="00332FE7">
        <w:rPr>
          <w:rFonts w:eastAsia="Times New Roman" w:cstheme="minorHAnsi"/>
          <w:bCs/>
        </w:rPr>
        <w:t xml:space="preserve"> </w:t>
      </w:r>
      <w:r w:rsidR="0080673F" w:rsidRPr="00332FE7">
        <w:rPr>
          <w:rFonts w:eastAsia="Times New Roman" w:cstheme="minorHAnsi"/>
          <w:bCs/>
        </w:rPr>
        <w:t>be eligible to receive funding from</w:t>
      </w:r>
      <w:r w:rsidRPr="00332FE7">
        <w:rPr>
          <w:rFonts w:eastAsia="Times New Roman" w:cstheme="minorHAnsi"/>
          <w:bCs/>
        </w:rPr>
        <w:t xml:space="preserve"> Early Learning Hubs for KPI </w:t>
      </w:r>
      <w:r w:rsidR="005F15A4" w:rsidRPr="00332FE7">
        <w:rPr>
          <w:rFonts w:eastAsia="Times New Roman" w:cstheme="minorHAnsi"/>
          <w:bCs/>
        </w:rPr>
        <w:t>programming</w:t>
      </w:r>
      <w:r w:rsidRPr="00332FE7">
        <w:rPr>
          <w:rFonts w:eastAsia="Times New Roman" w:cstheme="minorHAnsi"/>
          <w:bCs/>
        </w:rPr>
        <w:t>:</w:t>
      </w:r>
    </w:p>
    <w:p w14:paraId="67D0678A" w14:textId="306E0055" w:rsidR="00DD53A8" w:rsidRPr="00332FE7" w:rsidRDefault="00DD53A8" w:rsidP="00962287">
      <w:pPr>
        <w:pStyle w:val="ListParagraph"/>
        <w:numPr>
          <w:ilvl w:val="4"/>
          <w:numId w:val="4"/>
        </w:numPr>
        <w:spacing w:before="100" w:beforeAutospacing="1" w:after="100" w:afterAutospacing="1"/>
        <w:ind w:left="810"/>
        <w:rPr>
          <w:rFonts w:eastAsia="Times New Roman" w:cstheme="minorHAnsi"/>
        </w:rPr>
      </w:pPr>
      <w:r w:rsidRPr="00332FE7">
        <w:rPr>
          <w:rFonts w:eastAsia="Times New Roman" w:cstheme="minorHAnsi"/>
        </w:rPr>
        <w:t>Education Service Districts;</w:t>
      </w:r>
    </w:p>
    <w:p w14:paraId="41210BEC" w14:textId="33EC2022" w:rsidR="00DD53A8" w:rsidRPr="00332FE7" w:rsidRDefault="00DD53A8" w:rsidP="00962287">
      <w:pPr>
        <w:pStyle w:val="ListParagraph"/>
        <w:numPr>
          <w:ilvl w:val="4"/>
          <w:numId w:val="4"/>
        </w:numPr>
        <w:spacing w:before="100" w:beforeAutospacing="1" w:after="100" w:afterAutospacing="1"/>
        <w:ind w:left="810"/>
        <w:rPr>
          <w:rFonts w:eastAsia="Times New Roman" w:cstheme="minorHAnsi"/>
        </w:rPr>
      </w:pPr>
      <w:r w:rsidRPr="00332FE7">
        <w:rPr>
          <w:rFonts w:eastAsia="Times New Roman" w:cstheme="minorHAnsi"/>
        </w:rPr>
        <w:t>K-12 school districts;</w:t>
      </w:r>
    </w:p>
    <w:p w14:paraId="04999305" w14:textId="7899DD0E" w:rsidR="00025AD4" w:rsidRPr="00332FE7" w:rsidRDefault="00025AD4" w:rsidP="00962287">
      <w:pPr>
        <w:pStyle w:val="ListParagraph"/>
        <w:numPr>
          <w:ilvl w:val="4"/>
          <w:numId w:val="4"/>
        </w:numPr>
        <w:spacing w:before="100" w:beforeAutospacing="1" w:after="100" w:afterAutospacing="1"/>
        <w:ind w:left="810"/>
        <w:rPr>
          <w:rFonts w:eastAsia="Times New Roman" w:cstheme="minorHAnsi"/>
        </w:rPr>
      </w:pPr>
      <w:r w:rsidRPr="00332FE7">
        <w:rPr>
          <w:rFonts w:eastAsia="Times New Roman" w:cstheme="minorHAnsi"/>
        </w:rPr>
        <w:t>Child Care Resource &amp; Referral Agencies;</w:t>
      </w:r>
    </w:p>
    <w:p w14:paraId="6A66A6DB" w14:textId="6EE162EB" w:rsidR="00025AD4" w:rsidRPr="00332FE7" w:rsidRDefault="00025AD4" w:rsidP="00962287">
      <w:pPr>
        <w:pStyle w:val="ListParagraph"/>
        <w:numPr>
          <w:ilvl w:val="4"/>
          <w:numId w:val="4"/>
        </w:numPr>
        <w:spacing w:before="100" w:beforeAutospacing="1" w:after="100" w:afterAutospacing="1"/>
        <w:ind w:left="810"/>
        <w:rPr>
          <w:rFonts w:eastAsia="Times New Roman" w:cstheme="minorHAnsi"/>
        </w:rPr>
      </w:pPr>
      <w:r w:rsidRPr="00332FE7">
        <w:rPr>
          <w:rFonts w:eastAsia="Times New Roman" w:cstheme="minorHAnsi"/>
        </w:rPr>
        <w:t>OPEC Parenting Hubs;</w:t>
      </w:r>
    </w:p>
    <w:p w14:paraId="64207445" w14:textId="1F21B6CC" w:rsidR="00025AD4" w:rsidRPr="00332FE7" w:rsidRDefault="00025AD4" w:rsidP="00962287">
      <w:pPr>
        <w:pStyle w:val="ListParagraph"/>
        <w:numPr>
          <w:ilvl w:val="4"/>
          <w:numId w:val="4"/>
        </w:numPr>
        <w:spacing w:before="100" w:beforeAutospacing="1" w:after="100" w:afterAutospacing="1"/>
        <w:ind w:left="810"/>
        <w:rPr>
          <w:rFonts w:eastAsia="Times New Roman" w:cstheme="minorHAnsi"/>
        </w:rPr>
      </w:pPr>
      <w:r w:rsidRPr="00332FE7">
        <w:rPr>
          <w:rFonts w:eastAsia="Times New Roman" w:cstheme="minorHAnsi"/>
        </w:rPr>
        <w:t>Early childhood service providers;</w:t>
      </w:r>
    </w:p>
    <w:p w14:paraId="2BD34111" w14:textId="2976EB11" w:rsidR="00DD53A8" w:rsidRPr="00332FE7" w:rsidRDefault="00DD53A8" w:rsidP="00962287">
      <w:pPr>
        <w:pStyle w:val="ListParagraph"/>
        <w:numPr>
          <w:ilvl w:val="4"/>
          <w:numId w:val="4"/>
        </w:numPr>
        <w:spacing w:before="100" w:beforeAutospacing="1" w:after="100" w:afterAutospacing="1"/>
        <w:ind w:left="810"/>
        <w:rPr>
          <w:rFonts w:eastAsia="Times New Roman" w:cstheme="minorHAnsi"/>
        </w:rPr>
      </w:pPr>
      <w:r w:rsidRPr="00332FE7">
        <w:rPr>
          <w:rFonts w:eastAsia="Times New Roman" w:cstheme="minorHAnsi"/>
        </w:rPr>
        <w:t>Non-profit organizations;</w:t>
      </w:r>
    </w:p>
    <w:p w14:paraId="5224B0B5" w14:textId="005977E0" w:rsidR="002C10D6" w:rsidRPr="00332FE7" w:rsidRDefault="002C10D6" w:rsidP="00962287">
      <w:pPr>
        <w:pStyle w:val="ListParagraph"/>
        <w:numPr>
          <w:ilvl w:val="4"/>
          <w:numId w:val="4"/>
        </w:numPr>
        <w:spacing w:before="100" w:beforeAutospacing="1" w:after="100" w:afterAutospacing="1"/>
        <w:ind w:left="810"/>
        <w:rPr>
          <w:rFonts w:eastAsia="Times New Roman" w:cstheme="minorHAnsi"/>
        </w:rPr>
      </w:pPr>
      <w:r w:rsidRPr="00332FE7">
        <w:rPr>
          <w:rFonts w:eastAsia="Times New Roman" w:cstheme="minorHAnsi"/>
        </w:rPr>
        <w:t>Post-Secondary institutions.</w:t>
      </w:r>
    </w:p>
    <w:p w14:paraId="0756DDF0" w14:textId="73AB9FFA" w:rsidR="00DD2551" w:rsidRPr="00332FE7" w:rsidRDefault="00DD2551" w:rsidP="002C10D6">
      <w:pPr>
        <w:pStyle w:val="ListParagraph"/>
        <w:numPr>
          <w:ilvl w:val="3"/>
          <w:numId w:val="4"/>
        </w:numPr>
        <w:spacing w:before="100" w:beforeAutospacing="1" w:after="100" w:afterAutospacing="1"/>
        <w:ind w:left="360"/>
        <w:rPr>
          <w:rFonts w:eastAsia="Times New Roman" w:cstheme="minorHAnsi"/>
        </w:rPr>
      </w:pPr>
      <w:r w:rsidRPr="00332FE7">
        <w:rPr>
          <w:rFonts w:eastAsia="Times New Roman" w:cstheme="minorHAnsi"/>
        </w:rPr>
        <w:t xml:space="preserve">Organizations identified in (1) above may collaborate and submit a joint proposal to Early Learning Hubs for KPI </w:t>
      </w:r>
      <w:r w:rsidR="00984238" w:rsidRPr="00332FE7">
        <w:rPr>
          <w:rFonts w:eastAsia="Times New Roman" w:cstheme="minorHAnsi"/>
        </w:rPr>
        <w:t>funding</w:t>
      </w:r>
      <w:r w:rsidRPr="00332FE7">
        <w:rPr>
          <w:rFonts w:eastAsia="Times New Roman" w:cstheme="minorHAnsi"/>
        </w:rPr>
        <w:t>.</w:t>
      </w:r>
    </w:p>
    <w:p w14:paraId="2130E592" w14:textId="77777777" w:rsidR="0072565A" w:rsidRPr="00332FE7" w:rsidRDefault="00DC4AEE" w:rsidP="0072565A">
      <w:pPr>
        <w:spacing w:before="100" w:beforeAutospacing="1" w:after="100" w:afterAutospacing="1"/>
        <w:rPr>
          <w:rFonts w:eastAsia="Times New Roman" w:cstheme="minorHAnsi"/>
        </w:rPr>
      </w:pPr>
      <w:hyperlink r:id="rId16" w:history="1">
        <w:r w:rsidR="0072565A" w:rsidRPr="00332FE7">
          <w:rPr>
            <w:rFonts w:eastAsia="Times New Roman" w:cstheme="minorHAnsi"/>
            <w:b/>
            <w:bCs/>
            <w:color w:val="0000FF"/>
            <w:u w:val="single"/>
          </w:rPr>
          <w:t>414-800-0025</w:t>
        </w:r>
      </w:hyperlink>
      <w:r w:rsidR="0072565A" w:rsidRPr="00332FE7">
        <w:rPr>
          <w:rFonts w:eastAsia="Times New Roman" w:cstheme="minorHAnsi"/>
        </w:rPr>
        <w:br/>
      </w:r>
      <w:r w:rsidR="0072565A" w:rsidRPr="00332FE7">
        <w:rPr>
          <w:rFonts w:eastAsia="Times New Roman" w:cstheme="minorHAnsi"/>
          <w:b/>
          <w:bCs/>
        </w:rPr>
        <w:t xml:space="preserve">Funding </w:t>
      </w:r>
    </w:p>
    <w:p w14:paraId="6BE3DE63" w14:textId="72B436D9" w:rsidR="0072565A" w:rsidRPr="00332FE7" w:rsidRDefault="0072565A" w:rsidP="0072565A">
      <w:pPr>
        <w:spacing w:before="100" w:beforeAutospacing="1" w:after="100" w:afterAutospacing="1"/>
        <w:rPr>
          <w:rFonts w:eastAsia="Times New Roman" w:cstheme="minorHAnsi"/>
        </w:rPr>
      </w:pPr>
      <w:r w:rsidRPr="00332FE7">
        <w:rPr>
          <w:rFonts w:eastAsia="Times New Roman" w:cstheme="minorHAnsi"/>
        </w:rPr>
        <w:t xml:space="preserve">(1) The Early Learning Division shall determine for each fiscal year the portion of the funds available for the </w:t>
      </w:r>
      <w:r w:rsidR="00751CAB" w:rsidRPr="00332FE7">
        <w:rPr>
          <w:rFonts w:eastAsia="Times New Roman" w:cstheme="minorHAnsi"/>
        </w:rPr>
        <w:t>KPI</w:t>
      </w:r>
      <w:r w:rsidR="00984238" w:rsidRPr="00332FE7">
        <w:rPr>
          <w:rFonts w:eastAsia="Times New Roman" w:cstheme="minorHAnsi"/>
        </w:rPr>
        <w:t xml:space="preserve"> fund</w:t>
      </w:r>
      <w:r w:rsidRPr="00332FE7">
        <w:rPr>
          <w:rFonts w:eastAsia="Times New Roman" w:cstheme="minorHAnsi"/>
        </w:rPr>
        <w:t>.</w:t>
      </w:r>
    </w:p>
    <w:p w14:paraId="1FD77FB1" w14:textId="0F3C9769" w:rsidR="0072565A" w:rsidRPr="00332FE7" w:rsidRDefault="0072565A" w:rsidP="0072565A">
      <w:pPr>
        <w:spacing w:before="100" w:beforeAutospacing="1" w:after="100" w:afterAutospacing="1"/>
        <w:rPr>
          <w:rFonts w:eastAsia="Times New Roman" w:cstheme="minorHAnsi"/>
        </w:rPr>
      </w:pPr>
      <w:r w:rsidRPr="00332FE7">
        <w:rPr>
          <w:rFonts w:eastAsia="Times New Roman" w:cstheme="minorHAnsi"/>
        </w:rPr>
        <w:t xml:space="preserve">(2) Funds received under this section </w:t>
      </w:r>
      <w:proofErr w:type="gramStart"/>
      <w:r w:rsidRPr="00332FE7">
        <w:rPr>
          <w:rFonts w:eastAsia="Times New Roman" w:cstheme="minorHAnsi"/>
        </w:rPr>
        <w:t>must be separately accounted for</w:t>
      </w:r>
      <w:proofErr w:type="gramEnd"/>
      <w:r w:rsidR="00487007" w:rsidRPr="00332FE7">
        <w:rPr>
          <w:rFonts w:eastAsia="Times New Roman" w:cstheme="minorHAnsi"/>
        </w:rPr>
        <w:t xml:space="preserve"> by Early Learning Hubs and KPI </w:t>
      </w:r>
      <w:r w:rsidR="00984238" w:rsidRPr="00332FE7">
        <w:rPr>
          <w:rFonts w:eastAsia="Times New Roman" w:cstheme="minorHAnsi"/>
        </w:rPr>
        <w:t>funding recipients</w:t>
      </w:r>
      <w:r w:rsidR="00DD2551" w:rsidRPr="00332FE7">
        <w:rPr>
          <w:rFonts w:eastAsia="Times New Roman" w:cstheme="minorHAnsi"/>
        </w:rPr>
        <w:t xml:space="preserve"> </w:t>
      </w:r>
      <w:r w:rsidRPr="00332FE7">
        <w:rPr>
          <w:rFonts w:eastAsia="Times New Roman" w:cstheme="minorHAnsi"/>
        </w:rPr>
        <w:t>and may be used only to provide funding for the purposes described in</w:t>
      </w:r>
      <w:r w:rsidR="00F261D7" w:rsidRPr="00332FE7">
        <w:rPr>
          <w:rFonts w:eastAsia="Times New Roman" w:cstheme="minorHAnsi"/>
        </w:rPr>
        <w:t xml:space="preserve"> OAR 414-800-0010.</w:t>
      </w:r>
    </w:p>
    <w:p w14:paraId="294A695E" w14:textId="39276256" w:rsidR="00751CAB" w:rsidRPr="00332FE7" w:rsidRDefault="00751CAB" w:rsidP="0072565A">
      <w:pPr>
        <w:spacing w:before="100" w:beforeAutospacing="1" w:after="100" w:afterAutospacing="1"/>
        <w:rPr>
          <w:rFonts w:eastAsia="Times New Roman" w:cstheme="minorHAnsi"/>
        </w:rPr>
      </w:pPr>
      <w:r w:rsidRPr="00332FE7">
        <w:rPr>
          <w:rFonts w:eastAsia="Times New Roman" w:cstheme="minorHAnsi"/>
        </w:rPr>
        <w:t xml:space="preserve">(3) Funds </w:t>
      </w:r>
      <w:proofErr w:type="gramStart"/>
      <w:r w:rsidRPr="00332FE7">
        <w:rPr>
          <w:rFonts w:eastAsia="Times New Roman" w:cstheme="minorHAnsi"/>
        </w:rPr>
        <w:t>may not be used</w:t>
      </w:r>
      <w:proofErr w:type="gramEnd"/>
      <w:r w:rsidRPr="00332FE7">
        <w:rPr>
          <w:rFonts w:eastAsia="Times New Roman" w:cstheme="minorHAnsi"/>
        </w:rPr>
        <w:t xml:space="preserve"> to supplant </w:t>
      </w:r>
      <w:r w:rsidR="006B5B98" w:rsidRPr="00332FE7">
        <w:rPr>
          <w:rFonts w:eastAsia="Times New Roman" w:cstheme="minorHAnsi"/>
        </w:rPr>
        <w:t>available</w:t>
      </w:r>
      <w:r w:rsidRPr="00332FE7">
        <w:rPr>
          <w:rFonts w:eastAsia="Times New Roman" w:cstheme="minorHAnsi"/>
        </w:rPr>
        <w:t xml:space="preserve"> federal or state funds.</w:t>
      </w:r>
    </w:p>
    <w:p w14:paraId="61684D15" w14:textId="77777777" w:rsidR="004E7CC9" w:rsidRPr="00332FE7" w:rsidRDefault="004E7CC9" w:rsidP="0072565A">
      <w:pPr>
        <w:spacing w:before="100" w:beforeAutospacing="1" w:after="100" w:afterAutospacing="1"/>
        <w:rPr>
          <w:rFonts w:eastAsia="Times New Roman" w:cstheme="minorHAnsi"/>
          <w:b/>
        </w:rPr>
      </w:pPr>
    </w:p>
    <w:p w14:paraId="2164CDC1" w14:textId="2711654F" w:rsidR="00DD53A8" w:rsidRPr="00332FE7" w:rsidRDefault="00DD53A8" w:rsidP="0072565A">
      <w:pPr>
        <w:spacing w:before="100" w:beforeAutospacing="1" w:after="100" w:afterAutospacing="1"/>
        <w:rPr>
          <w:rFonts w:eastAsia="Times New Roman" w:cstheme="minorHAnsi"/>
          <w:b/>
        </w:rPr>
      </w:pPr>
      <w:r w:rsidRPr="00332FE7">
        <w:rPr>
          <w:rFonts w:eastAsia="Times New Roman" w:cstheme="minorHAnsi"/>
          <w:b/>
        </w:rPr>
        <w:t>414-800-0027 (NEW RULE)</w:t>
      </w:r>
    </w:p>
    <w:p w14:paraId="3336258D" w14:textId="77777777" w:rsidR="00DD53A8" w:rsidRPr="00332FE7" w:rsidRDefault="00DD53A8" w:rsidP="00DD53A8">
      <w:pPr>
        <w:pStyle w:val="NormalWeb"/>
        <w:rPr>
          <w:rFonts w:asciiTheme="minorHAnsi" w:hAnsiTheme="minorHAnsi" w:cstheme="minorHAnsi"/>
        </w:rPr>
      </w:pPr>
      <w:r w:rsidRPr="00332FE7">
        <w:rPr>
          <w:rStyle w:val="Strong"/>
          <w:rFonts w:asciiTheme="minorHAnsi" w:eastAsiaTheme="majorEastAsia" w:hAnsiTheme="minorHAnsi" w:cstheme="minorHAnsi"/>
        </w:rPr>
        <w:t>Administration</w:t>
      </w:r>
    </w:p>
    <w:p w14:paraId="3F4B7428" w14:textId="278FA56B" w:rsidR="00DD53A8" w:rsidRPr="00332FE7" w:rsidRDefault="00DD53A8" w:rsidP="00DD53A8">
      <w:pPr>
        <w:pStyle w:val="NormalWeb"/>
        <w:rPr>
          <w:rFonts w:asciiTheme="minorHAnsi" w:hAnsiTheme="minorHAnsi" w:cstheme="minorHAnsi"/>
        </w:rPr>
      </w:pPr>
      <w:r w:rsidRPr="00332FE7">
        <w:rPr>
          <w:rFonts w:asciiTheme="minorHAnsi" w:hAnsiTheme="minorHAnsi" w:cstheme="minorHAnsi"/>
        </w:rPr>
        <w:t>(1) The Division will administer agreements with Early Learning Hubs</w:t>
      </w:r>
      <w:r w:rsidR="005F15A4" w:rsidRPr="00332FE7">
        <w:rPr>
          <w:rFonts w:asciiTheme="minorHAnsi" w:hAnsiTheme="minorHAnsi" w:cstheme="minorHAnsi"/>
        </w:rPr>
        <w:t xml:space="preserve"> on how to allocate KPI</w:t>
      </w:r>
      <w:r w:rsidR="00EF6AB1" w:rsidRPr="00332FE7">
        <w:rPr>
          <w:rFonts w:asciiTheme="minorHAnsi" w:hAnsiTheme="minorHAnsi" w:cstheme="minorHAnsi"/>
        </w:rPr>
        <w:t xml:space="preserve"> funds</w:t>
      </w:r>
      <w:r w:rsidRPr="00332FE7">
        <w:rPr>
          <w:rFonts w:asciiTheme="minorHAnsi" w:hAnsiTheme="minorHAnsi" w:cstheme="minorHAnsi"/>
        </w:rPr>
        <w:t xml:space="preserve"> and provide program guidelines.</w:t>
      </w:r>
    </w:p>
    <w:p w14:paraId="4CB3E584" w14:textId="2D5236BE" w:rsidR="00DD53A8" w:rsidRPr="00332FE7" w:rsidRDefault="00DD53A8" w:rsidP="00DD53A8">
      <w:pPr>
        <w:pStyle w:val="NormalWeb"/>
        <w:rPr>
          <w:rFonts w:asciiTheme="minorHAnsi" w:hAnsiTheme="minorHAnsi" w:cstheme="minorHAnsi"/>
        </w:rPr>
      </w:pPr>
      <w:r w:rsidRPr="00332FE7">
        <w:rPr>
          <w:rFonts w:asciiTheme="minorHAnsi" w:hAnsiTheme="minorHAnsi" w:cstheme="minorHAnsi"/>
        </w:rPr>
        <w:t>(2)</w:t>
      </w:r>
      <w:r w:rsidR="005F15A4" w:rsidRPr="00332FE7">
        <w:rPr>
          <w:rFonts w:asciiTheme="minorHAnsi" w:hAnsiTheme="minorHAnsi" w:cstheme="minorHAnsi"/>
        </w:rPr>
        <w:t xml:space="preserve"> Funding r</w:t>
      </w:r>
      <w:r w:rsidRPr="00332FE7">
        <w:rPr>
          <w:rFonts w:asciiTheme="minorHAnsi" w:hAnsiTheme="minorHAnsi" w:cstheme="minorHAnsi"/>
        </w:rPr>
        <w:t>ecipients</w:t>
      </w:r>
      <w:r w:rsidR="00EF6AB1" w:rsidRPr="00332FE7">
        <w:rPr>
          <w:rFonts w:asciiTheme="minorHAnsi" w:hAnsiTheme="minorHAnsi" w:cstheme="minorHAnsi"/>
        </w:rPr>
        <w:t xml:space="preserve"> as identified in OAR 414-800-0020</w:t>
      </w:r>
      <w:r w:rsidRPr="00332FE7">
        <w:rPr>
          <w:rFonts w:asciiTheme="minorHAnsi" w:hAnsiTheme="minorHAnsi" w:cstheme="minorHAnsi"/>
        </w:rPr>
        <w:t xml:space="preserve"> must comply with the terms and conditions of the</w:t>
      </w:r>
      <w:r w:rsidR="00EF6AB1" w:rsidRPr="00332FE7">
        <w:rPr>
          <w:rFonts w:asciiTheme="minorHAnsi" w:hAnsiTheme="minorHAnsi" w:cstheme="minorHAnsi"/>
        </w:rPr>
        <w:t xml:space="preserve"> </w:t>
      </w:r>
      <w:r w:rsidRPr="00332FE7">
        <w:rPr>
          <w:rFonts w:asciiTheme="minorHAnsi" w:hAnsiTheme="minorHAnsi" w:cstheme="minorHAnsi"/>
        </w:rPr>
        <w:t xml:space="preserve">agreement </w:t>
      </w:r>
      <w:r w:rsidR="00EF6AB1" w:rsidRPr="00332FE7">
        <w:rPr>
          <w:rFonts w:asciiTheme="minorHAnsi" w:hAnsiTheme="minorHAnsi" w:cstheme="minorHAnsi"/>
        </w:rPr>
        <w:t xml:space="preserve">with the Early Learning Hub. </w:t>
      </w:r>
      <w:r w:rsidR="005F15A4" w:rsidRPr="00332FE7">
        <w:rPr>
          <w:rFonts w:asciiTheme="minorHAnsi" w:hAnsiTheme="minorHAnsi" w:cstheme="minorHAnsi"/>
        </w:rPr>
        <w:t>Funding</w:t>
      </w:r>
      <w:r w:rsidR="00EF6AB1" w:rsidRPr="00332FE7">
        <w:rPr>
          <w:rFonts w:asciiTheme="minorHAnsi" w:hAnsiTheme="minorHAnsi" w:cstheme="minorHAnsi"/>
        </w:rPr>
        <w:t xml:space="preserve"> r</w:t>
      </w:r>
      <w:r w:rsidR="00DD2551" w:rsidRPr="00332FE7">
        <w:rPr>
          <w:rFonts w:asciiTheme="minorHAnsi" w:hAnsiTheme="minorHAnsi" w:cstheme="minorHAnsi"/>
        </w:rPr>
        <w:t>ecipients must</w:t>
      </w:r>
      <w:r w:rsidRPr="00332FE7">
        <w:rPr>
          <w:rFonts w:asciiTheme="minorHAnsi" w:hAnsiTheme="minorHAnsi" w:cstheme="minorHAnsi"/>
        </w:rPr>
        <w:t xml:space="preserve"> cooperat</w:t>
      </w:r>
      <w:r w:rsidR="00EF6AB1" w:rsidRPr="00332FE7">
        <w:rPr>
          <w:rFonts w:asciiTheme="minorHAnsi" w:hAnsiTheme="minorHAnsi" w:cstheme="minorHAnsi"/>
        </w:rPr>
        <w:t>e</w:t>
      </w:r>
      <w:r w:rsidRPr="00332FE7">
        <w:rPr>
          <w:rFonts w:asciiTheme="minorHAnsi" w:hAnsiTheme="minorHAnsi" w:cstheme="minorHAnsi"/>
        </w:rPr>
        <w:t xml:space="preserve"> </w:t>
      </w:r>
      <w:r w:rsidRPr="00332FE7">
        <w:rPr>
          <w:rFonts w:asciiTheme="minorHAnsi" w:hAnsiTheme="minorHAnsi" w:cstheme="minorHAnsi"/>
        </w:rPr>
        <w:lastRenderedPageBreak/>
        <w:t>with the Early Learning Hub and/or Division’s program monitoring, technical assistance, program evaluations, and reporting requirements.</w:t>
      </w:r>
    </w:p>
    <w:p w14:paraId="2C78E1A1" w14:textId="419870F1" w:rsidR="00DD53A8" w:rsidRPr="00332FE7" w:rsidRDefault="00DD53A8" w:rsidP="00DD53A8">
      <w:pPr>
        <w:pStyle w:val="NormalWeb"/>
        <w:rPr>
          <w:rFonts w:asciiTheme="minorHAnsi" w:hAnsiTheme="minorHAnsi" w:cstheme="minorHAnsi"/>
        </w:rPr>
      </w:pPr>
      <w:r w:rsidRPr="00332FE7">
        <w:rPr>
          <w:rFonts w:asciiTheme="minorHAnsi" w:hAnsiTheme="minorHAnsi" w:cstheme="minorHAnsi"/>
        </w:rPr>
        <w:t xml:space="preserve">(3) Noncompliance with program and agreement requirements may make the </w:t>
      </w:r>
      <w:r w:rsidR="005F15A4" w:rsidRPr="00332FE7">
        <w:rPr>
          <w:rFonts w:asciiTheme="minorHAnsi" w:hAnsiTheme="minorHAnsi" w:cstheme="minorHAnsi"/>
        </w:rPr>
        <w:t xml:space="preserve">funding </w:t>
      </w:r>
      <w:r w:rsidRPr="00332FE7">
        <w:rPr>
          <w:rFonts w:asciiTheme="minorHAnsi" w:hAnsiTheme="minorHAnsi" w:cstheme="minorHAnsi"/>
        </w:rPr>
        <w:t xml:space="preserve">recipient ineligible for future </w:t>
      </w:r>
      <w:r w:rsidR="00F261D7" w:rsidRPr="00332FE7">
        <w:rPr>
          <w:rFonts w:asciiTheme="minorHAnsi" w:hAnsiTheme="minorHAnsi" w:cstheme="minorHAnsi"/>
        </w:rPr>
        <w:t>fund</w:t>
      </w:r>
      <w:r w:rsidR="00DD2551" w:rsidRPr="00332FE7">
        <w:rPr>
          <w:rFonts w:asciiTheme="minorHAnsi" w:hAnsiTheme="minorHAnsi" w:cstheme="minorHAnsi"/>
        </w:rPr>
        <w:t>ing opportunities.</w:t>
      </w:r>
    </w:p>
    <w:p w14:paraId="3474ADD0" w14:textId="77777777" w:rsidR="00DD53A8" w:rsidRPr="00332FE7" w:rsidRDefault="00DD53A8" w:rsidP="0072565A">
      <w:pPr>
        <w:spacing w:before="100" w:beforeAutospacing="1" w:after="100" w:afterAutospacing="1"/>
        <w:rPr>
          <w:rFonts w:eastAsia="Times New Roman" w:cstheme="minorHAnsi"/>
        </w:rPr>
      </w:pPr>
    </w:p>
    <w:p w14:paraId="7B3CD39C" w14:textId="77777777" w:rsidR="0072565A" w:rsidRPr="00332FE7" w:rsidRDefault="00DC4AEE" w:rsidP="0072565A">
      <w:pPr>
        <w:spacing w:before="100" w:beforeAutospacing="1" w:after="100" w:afterAutospacing="1"/>
        <w:rPr>
          <w:rFonts w:eastAsia="Times New Roman" w:cstheme="minorHAnsi"/>
        </w:rPr>
      </w:pPr>
      <w:hyperlink r:id="rId17" w:history="1">
        <w:r w:rsidR="0072565A" w:rsidRPr="00332FE7">
          <w:rPr>
            <w:rFonts w:eastAsia="Times New Roman" w:cstheme="minorHAnsi"/>
            <w:b/>
            <w:bCs/>
            <w:color w:val="0000FF"/>
            <w:u w:val="single"/>
          </w:rPr>
          <w:t>414-800-0030</w:t>
        </w:r>
      </w:hyperlink>
      <w:r w:rsidR="0072565A" w:rsidRPr="00332FE7">
        <w:rPr>
          <w:rFonts w:eastAsia="Times New Roman" w:cstheme="minorHAnsi"/>
        </w:rPr>
        <w:br/>
      </w:r>
      <w:r w:rsidR="0072565A" w:rsidRPr="00332FE7">
        <w:rPr>
          <w:rFonts w:eastAsia="Times New Roman" w:cstheme="minorHAnsi"/>
          <w:b/>
          <w:bCs/>
        </w:rPr>
        <w:t xml:space="preserve">Reporting </w:t>
      </w:r>
    </w:p>
    <w:p w14:paraId="678EF9B6" w14:textId="084E2E02" w:rsidR="00DD53A8" w:rsidRPr="00332FE7" w:rsidRDefault="0072565A" w:rsidP="00962287">
      <w:pPr>
        <w:pStyle w:val="ListParagraph"/>
        <w:numPr>
          <w:ilvl w:val="3"/>
          <w:numId w:val="2"/>
        </w:numPr>
        <w:spacing w:before="100" w:beforeAutospacing="1" w:after="100" w:afterAutospacing="1"/>
        <w:ind w:left="450"/>
        <w:rPr>
          <w:rFonts w:eastAsia="Times New Roman" w:cstheme="minorHAnsi"/>
        </w:rPr>
      </w:pPr>
      <w:bookmarkStart w:id="0" w:name="_GoBack"/>
      <w:r w:rsidRPr="00332FE7">
        <w:rPr>
          <w:rFonts w:eastAsia="Times New Roman" w:cstheme="minorHAnsi"/>
        </w:rPr>
        <w:t xml:space="preserve">Recipients of </w:t>
      </w:r>
      <w:r w:rsidR="00DD53A8" w:rsidRPr="00332FE7">
        <w:rPr>
          <w:rFonts w:eastAsia="Times New Roman" w:cstheme="minorHAnsi"/>
        </w:rPr>
        <w:t>KPI</w:t>
      </w:r>
      <w:r w:rsidRPr="00332FE7">
        <w:rPr>
          <w:rFonts w:eastAsia="Times New Roman" w:cstheme="minorHAnsi"/>
        </w:rPr>
        <w:t xml:space="preserve"> </w:t>
      </w:r>
      <w:r w:rsidR="005F15A4" w:rsidRPr="00332FE7">
        <w:rPr>
          <w:rFonts w:eastAsia="Times New Roman" w:cstheme="minorHAnsi"/>
        </w:rPr>
        <w:t xml:space="preserve">funding </w:t>
      </w:r>
      <w:r w:rsidRPr="00332FE7">
        <w:rPr>
          <w:rFonts w:eastAsia="Times New Roman" w:cstheme="minorHAnsi"/>
        </w:rPr>
        <w:t xml:space="preserve">must report on their </w:t>
      </w:r>
      <w:r w:rsidR="005F15A4" w:rsidRPr="00332FE7">
        <w:rPr>
          <w:rFonts w:eastAsia="Times New Roman" w:cstheme="minorHAnsi"/>
        </w:rPr>
        <w:t xml:space="preserve">funded </w:t>
      </w:r>
      <w:r w:rsidRPr="00332FE7">
        <w:rPr>
          <w:rFonts w:eastAsia="Times New Roman" w:cstheme="minorHAnsi"/>
        </w:rPr>
        <w:t>program outcomes and expenditures</w:t>
      </w:r>
      <w:r w:rsidR="00DD53A8" w:rsidRPr="00332FE7">
        <w:rPr>
          <w:rFonts w:eastAsia="Times New Roman" w:cstheme="minorHAnsi"/>
        </w:rPr>
        <w:t xml:space="preserve"> as determined by the agreement with the Early Learning Hub.</w:t>
      </w:r>
    </w:p>
    <w:p w14:paraId="4FA41625" w14:textId="0D4F8745" w:rsidR="0072565A" w:rsidRPr="00332FE7" w:rsidRDefault="00DD53A8" w:rsidP="00962287">
      <w:pPr>
        <w:pStyle w:val="ListParagraph"/>
        <w:numPr>
          <w:ilvl w:val="3"/>
          <w:numId w:val="2"/>
        </w:numPr>
        <w:ind w:left="450"/>
        <w:rPr>
          <w:rFonts w:cstheme="minorHAnsi"/>
        </w:rPr>
      </w:pPr>
      <w:r w:rsidRPr="00332FE7">
        <w:rPr>
          <w:rFonts w:eastAsia="Times New Roman" w:cstheme="minorHAnsi"/>
        </w:rPr>
        <w:t xml:space="preserve">Upon request by the Division, a recipient of KPI </w:t>
      </w:r>
      <w:r w:rsidR="005F15A4" w:rsidRPr="00332FE7">
        <w:rPr>
          <w:rFonts w:eastAsia="Times New Roman" w:cstheme="minorHAnsi"/>
        </w:rPr>
        <w:t>funding</w:t>
      </w:r>
      <w:r w:rsidRPr="00332FE7">
        <w:rPr>
          <w:rFonts w:eastAsia="Times New Roman" w:cstheme="minorHAnsi"/>
        </w:rPr>
        <w:t xml:space="preserve"> must make available to the Division information and data that the Division determines is necessary to monitor and evaluate the funded program.</w:t>
      </w:r>
    </w:p>
    <w:bookmarkEnd w:id="0"/>
    <w:p w14:paraId="0F206604" w14:textId="77777777" w:rsidR="00B00F77" w:rsidRPr="00332FE7" w:rsidRDefault="00B00F77">
      <w:pPr>
        <w:rPr>
          <w:rFonts w:cstheme="minorHAnsi"/>
        </w:rPr>
      </w:pPr>
    </w:p>
    <w:sectPr w:rsidR="00B00F77" w:rsidRPr="00332FE7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0387D" w14:textId="77777777" w:rsidR="00AB74DA" w:rsidRDefault="00AB74DA" w:rsidP="0072565A">
      <w:r>
        <w:separator/>
      </w:r>
    </w:p>
  </w:endnote>
  <w:endnote w:type="continuationSeparator" w:id="0">
    <w:p w14:paraId="3E91B1AF" w14:textId="77777777" w:rsidR="00AB74DA" w:rsidRDefault="00AB74DA" w:rsidP="0072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7D7A6" w14:textId="77777777" w:rsidR="00AB74DA" w:rsidRDefault="00AB74DA" w:rsidP="0072565A">
      <w:r>
        <w:separator/>
      </w:r>
    </w:p>
  </w:footnote>
  <w:footnote w:type="continuationSeparator" w:id="0">
    <w:p w14:paraId="3802AE7B" w14:textId="77777777" w:rsidR="00AB74DA" w:rsidRDefault="00AB74DA" w:rsidP="00725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B0912" w14:textId="77777777" w:rsidR="0072565A" w:rsidRDefault="0072565A">
    <w:pPr>
      <w:pStyle w:val="Header"/>
    </w:pPr>
    <w:r>
      <w:t>KPI Rule Update 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414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2AB354F"/>
    <w:multiLevelType w:val="hybridMultilevel"/>
    <w:tmpl w:val="12D018E0"/>
    <w:lvl w:ilvl="0" w:tplc="A2BEE4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421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57A6776"/>
    <w:multiLevelType w:val="hybridMultilevel"/>
    <w:tmpl w:val="D494D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D04AD"/>
    <w:multiLevelType w:val="hybridMultilevel"/>
    <w:tmpl w:val="F7F29DB4"/>
    <w:lvl w:ilvl="0" w:tplc="A18E38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5A"/>
    <w:rsid w:val="00025AD4"/>
    <w:rsid w:val="00065083"/>
    <w:rsid w:val="0009345E"/>
    <w:rsid w:val="000C14A2"/>
    <w:rsid w:val="000D36B7"/>
    <w:rsid w:val="00180BC9"/>
    <w:rsid w:val="001E15D0"/>
    <w:rsid w:val="0020010C"/>
    <w:rsid w:val="0022037B"/>
    <w:rsid w:val="00223DAF"/>
    <w:rsid w:val="00251941"/>
    <w:rsid w:val="00295954"/>
    <w:rsid w:val="002A2BC4"/>
    <w:rsid w:val="002B03F8"/>
    <w:rsid w:val="002C10D6"/>
    <w:rsid w:val="002C747F"/>
    <w:rsid w:val="00310852"/>
    <w:rsid w:val="00332FE7"/>
    <w:rsid w:val="00346621"/>
    <w:rsid w:val="003A5E26"/>
    <w:rsid w:val="003E3959"/>
    <w:rsid w:val="003F6983"/>
    <w:rsid w:val="004024D8"/>
    <w:rsid w:val="0040707E"/>
    <w:rsid w:val="004159AA"/>
    <w:rsid w:val="004224D7"/>
    <w:rsid w:val="00447A81"/>
    <w:rsid w:val="00465BAE"/>
    <w:rsid w:val="00487007"/>
    <w:rsid w:val="004B38C1"/>
    <w:rsid w:val="004E7CC9"/>
    <w:rsid w:val="004F0AF2"/>
    <w:rsid w:val="004F64C3"/>
    <w:rsid w:val="004F72A9"/>
    <w:rsid w:val="005110C4"/>
    <w:rsid w:val="00560D17"/>
    <w:rsid w:val="00585D16"/>
    <w:rsid w:val="005A5989"/>
    <w:rsid w:val="005E5DE6"/>
    <w:rsid w:val="005F15A4"/>
    <w:rsid w:val="006563F2"/>
    <w:rsid w:val="006B5B98"/>
    <w:rsid w:val="00704426"/>
    <w:rsid w:val="00712E0C"/>
    <w:rsid w:val="0072565A"/>
    <w:rsid w:val="00751CAB"/>
    <w:rsid w:val="007603F5"/>
    <w:rsid w:val="007907B4"/>
    <w:rsid w:val="00800449"/>
    <w:rsid w:val="0080673F"/>
    <w:rsid w:val="008431FC"/>
    <w:rsid w:val="008904E5"/>
    <w:rsid w:val="00962287"/>
    <w:rsid w:val="00984238"/>
    <w:rsid w:val="00A1287D"/>
    <w:rsid w:val="00A13CAE"/>
    <w:rsid w:val="00A549F9"/>
    <w:rsid w:val="00A93D89"/>
    <w:rsid w:val="00AB351A"/>
    <w:rsid w:val="00AB74DA"/>
    <w:rsid w:val="00AC175A"/>
    <w:rsid w:val="00AD1307"/>
    <w:rsid w:val="00B00F77"/>
    <w:rsid w:val="00B01343"/>
    <w:rsid w:val="00B14D1E"/>
    <w:rsid w:val="00B56B6A"/>
    <w:rsid w:val="00B841E0"/>
    <w:rsid w:val="00BC597F"/>
    <w:rsid w:val="00BD3BA6"/>
    <w:rsid w:val="00C94F4A"/>
    <w:rsid w:val="00CB56F4"/>
    <w:rsid w:val="00CD2037"/>
    <w:rsid w:val="00CE55F6"/>
    <w:rsid w:val="00CF2BD0"/>
    <w:rsid w:val="00DC4AEE"/>
    <w:rsid w:val="00DD212E"/>
    <w:rsid w:val="00DD2551"/>
    <w:rsid w:val="00DD53A8"/>
    <w:rsid w:val="00DF49BD"/>
    <w:rsid w:val="00E52C36"/>
    <w:rsid w:val="00E5777C"/>
    <w:rsid w:val="00E70EDF"/>
    <w:rsid w:val="00E73AC0"/>
    <w:rsid w:val="00EA0402"/>
    <w:rsid w:val="00EF6AB1"/>
    <w:rsid w:val="00F261D7"/>
    <w:rsid w:val="00F541AE"/>
    <w:rsid w:val="00F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B8196"/>
  <w15:chartTrackingRefBased/>
  <w15:docId w15:val="{A3E1BCAA-6143-47A7-91F4-EFA8FA20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9BD"/>
  </w:style>
  <w:style w:type="paragraph" w:styleId="Heading1">
    <w:name w:val="heading 1"/>
    <w:basedOn w:val="Normal"/>
    <w:next w:val="Normal"/>
    <w:link w:val="Heading1Char"/>
    <w:uiPriority w:val="9"/>
    <w:qFormat/>
    <w:rsid w:val="002B03F8"/>
    <w:pPr>
      <w:keepNext/>
      <w:keepLines/>
      <w:spacing w:before="240" w:line="36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3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03F8"/>
    <w:pPr>
      <w:keepNext/>
      <w:keepLines/>
      <w:spacing w:before="40"/>
      <w:outlineLvl w:val="2"/>
    </w:pPr>
    <w:rPr>
      <w:rFonts w:ascii="Gill Sans MT" w:eastAsiaTheme="majorEastAsia" w:hAnsi="Gill Sans MT" w:cstheme="majorBidi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3F8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03F8"/>
    <w:rPr>
      <w:rFonts w:asciiTheme="majorHAnsi" w:eastAsiaTheme="majorEastAsia" w:hAnsiTheme="majorHAnsi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03F8"/>
    <w:rPr>
      <w:rFonts w:ascii="Gill Sans MT" w:eastAsiaTheme="majorEastAsia" w:hAnsi="Gill Sans MT" w:cstheme="majorBidi"/>
      <w:sz w:val="26"/>
    </w:rPr>
  </w:style>
  <w:style w:type="table" w:styleId="PlainTable1">
    <w:name w:val="Plain Table 1"/>
    <w:basedOn w:val="TableNormal"/>
    <w:uiPriority w:val="41"/>
    <w:rsid w:val="00CE55F6"/>
    <w:pPr>
      <w:widowControl w:val="0"/>
      <w:autoSpaceDE w:val="0"/>
      <w:autoSpaceDN w:val="0"/>
    </w:pPr>
    <w:rPr>
      <w:sz w:val="22"/>
      <w:szCs w:val="22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shd w:val="clear" w:color="auto" w:fill="EEECE1" w:themeFill="background2"/>
    </w:tcPr>
    <w:tblStylePr w:type="firstRow">
      <w:rPr>
        <w:b/>
        <w:bCs/>
        <w:color w:val="9BBB59" w:themeColor="accent3"/>
      </w:rPr>
      <w:tblPr/>
      <w:tcPr>
        <w:shd w:val="clear" w:color="auto" w:fill="EEECE1" w:themeFill="background2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4F81BD" w:themeFill="accent1"/>
      </w:tcPr>
    </w:tblStylePr>
    <w:tblStylePr w:type="band2Horz">
      <w:tblPr/>
      <w:tcPr>
        <w:shd w:val="clear" w:color="auto" w:fill="1F497D" w:themeFill="text2"/>
      </w:tcPr>
    </w:tblStylePr>
  </w:style>
  <w:style w:type="paragraph" w:styleId="Header">
    <w:name w:val="header"/>
    <w:basedOn w:val="Normal"/>
    <w:link w:val="HeaderChar"/>
    <w:uiPriority w:val="99"/>
    <w:unhideWhenUsed/>
    <w:rsid w:val="00725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65A"/>
  </w:style>
  <w:style w:type="paragraph" w:styleId="Footer">
    <w:name w:val="footer"/>
    <w:basedOn w:val="Normal"/>
    <w:link w:val="FooterChar"/>
    <w:uiPriority w:val="99"/>
    <w:unhideWhenUsed/>
    <w:rsid w:val="007256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65A"/>
  </w:style>
  <w:style w:type="paragraph" w:styleId="NormalWeb">
    <w:name w:val="Normal (Web)"/>
    <w:basedOn w:val="Normal"/>
    <w:uiPriority w:val="99"/>
    <w:unhideWhenUsed/>
    <w:rsid w:val="007256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2565A"/>
    <w:rPr>
      <w:b/>
      <w:bCs/>
    </w:rPr>
  </w:style>
  <w:style w:type="character" w:styleId="Hyperlink">
    <w:name w:val="Hyperlink"/>
    <w:basedOn w:val="DefaultParagraphFont"/>
    <w:uiPriority w:val="99"/>
    <w:unhideWhenUsed/>
    <w:rsid w:val="0072565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3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3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3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41A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1085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52C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legislature.gov/bills_laws/ors/ors336.html" TargetMode="External"/><Relationship Id="rId13" Type="http://schemas.openxmlformats.org/officeDocument/2006/relationships/hyperlink" Target="https://www.oregonlegislature.gov/bills_laws/ors/ors336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cure.sos.state.or.us/oard/viewSingleRule.action?ruleVrsnRsn=103117" TargetMode="External"/><Relationship Id="rId12" Type="http://schemas.openxmlformats.org/officeDocument/2006/relationships/hyperlink" Target="https://secure.sos.state.or.us/oard/viewSingleRule.action?ruleVrsnRsn=103119" TargetMode="External"/><Relationship Id="rId17" Type="http://schemas.openxmlformats.org/officeDocument/2006/relationships/hyperlink" Target="https://secure.sos.state.or.us/oard/viewSingleRule.action?ruleVrsnRsn=1031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cure.sos.state.or.us/oard/viewSingleRule.action?ruleVrsnRsn=10312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egonlegislature.gov/bills_laws/ors/ors314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cure.sos.state.or.us/oard/viewSingleRule.action?ruleVrsnRsn=103123" TargetMode="External"/><Relationship Id="rId10" Type="http://schemas.openxmlformats.org/officeDocument/2006/relationships/hyperlink" Target="https://www.oregonlegislature.gov/bills_laws/ors/ors417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regonlegislature.gov/bills_laws/ors/ors417.html" TargetMode="External"/><Relationship Id="rId14" Type="http://schemas.openxmlformats.org/officeDocument/2006/relationships/hyperlink" Target="https://secure.sos.state.or.us/oard/viewSingleRule.action?ruleVrsnRsn=103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1115</Words>
  <Characters>6225</Characters>
  <Application>Microsoft Office Word</Application>
  <DocSecurity>0</DocSecurity>
  <Lines>115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 Remember * ELD</dc:creator>
  <cp:keywords/>
  <dc:description/>
  <cp:lastModifiedBy>WATTS Remember * ELD</cp:lastModifiedBy>
  <cp:revision>3</cp:revision>
  <dcterms:created xsi:type="dcterms:W3CDTF">2022-03-29T18:29:00Z</dcterms:created>
  <dcterms:modified xsi:type="dcterms:W3CDTF">2022-03-31T19:36:00Z</dcterms:modified>
</cp:coreProperties>
</file>