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E56F" w14:textId="77777777" w:rsidR="00355BE6" w:rsidRDefault="00355BE6" w:rsidP="00B93503">
      <w:pPr>
        <w:pStyle w:val="Heading2"/>
        <w:spacing w:before="0" w:after="0" w:line="240" w:lineRule="auto"/>
        <w:jc w:val="center"/>
        <w:rPr>
          <w:rFonts w:ascii="Calibri" w:hAnsi="Calibri"/>
          <w:b/>
          <w:color w:val="auto"/>
          <w:sz w:val="32"/>
          <w:szCs w:val="32"/>
          <w:lang w:val="en-US"/>
        </w:rPr>
      </w:pPr>
      <w:r>
        <w:rPr>
          <w:rFonts w:ascii="Calibri" w:hAnsi="Calibri"/>
          <w:b/>
          <w:color w:val="auto"/>
          <w:sz w:val="32"/>
          <w:szCs w:val="32"/>
          <w:lang w:val="en-US"/>
        </w:rPr>
        <w:t>Home Visiting Systems Coordination Project</w:t>
      </w:r>
    </w:p>
    <w:p w14:paraId="16BB8E8D" w14:textId="49C81F7C" w:rsidR="007E7898" w:rsidRDefault="00355BE6" w:rsidP="00B93503">
      <w:pPr>
        <w:pStyle w:val="Heading2"/>
        <w:spacing w:before="0" w:after="0" w:line="240" w:lineRule="auto"/>
        <w:jc w:val="center"/>
        <w:rPr>
          <w:rFonts w:ascii="Calibri" w:hAnsi="Calibri"/>
          <w:b/>
          <w:color w:val="auto"/>
          <w:sz w:val="32"/>
          <w:szCs w:val="32"/>
          <w:lang w:val="en-US"/>
        </w:rPr>
      </w:pPr>
      <w:r>
        <w:rPr>
          <w:rFonts w:ascii="Calibri" w:hAnsi="Calibri"/>
          <w:b/>
          <w:color w:val="auto"/>
          <w:sz w:val="32"/>
          <w:szCs w:val="32"/>
          <w:lang w:val="en-US"/>
        </w:rPr>
        <w:t xml:space="preserve">Community Awareness </w:t>
      </w:r>
      <w:r w:rsidR="00261F76" w:rsidRPr="00082E9C">
        <w:rPr>
          <w:rFonts w:ascii="Calibri" w:hAnsi="Calibri"/>
          <w:b/>
          <w:color w:val="auto"/>
          <w:sz w:val="32"/>
          <w:szCs w:val="32"/>
          <w:lang w:val="en-US"/>
        </w:rPr>
        <w:t>Survey</w:t>
      </w:r>
    </w:p>
    <w:p w14:paraId="6D9842B1" w14:textId="15CBF213" w:rsidR="00082E9C" w:rsidRPr="00355BE6" w:rsidRDefault="00CA5173" w:rsidP="000934F5">
      <w:pPr>
        <w:spacing w:after="0" w:line="240" w:lineRule="auto"/>
        <w:jc w:val="center"/>
        <w:rPr>
          <w:i/>
          <w:lang w:eastAsia="x-none"/>
        </w:rPr>
      </w:pPr>
      <w:r>
        <w:rPr>
          <w:i/>
          <w:lang w:eastAsia="x-none"/>
        </w:rPr>
        <w:t>Executive</w:t>
      </w:r>
      <w:r w:rsidR="0066655E">
        <w:rPr>
          <w:i/>
          <w:lang w:eastAsia="x-none"/>
        </w:rPr>
        <w:t xml:space="preserve"> </w:t>
      </w:r>
      <w:r>
        <w:rPr>
          <w:i/>
          <w:lang w:eastAsia="x-none"/>
        </w:rPr>
        <w:t>Summary</w:t>
      </w:r>
    </w:p>
    <w:p w14:paraId="7145AF9B" w14:textId="0807A057" w:rsidR="00082E9C" w:rsidRDefault="00082E9C" w:rsidP="000934F5">
      <w:pPr>
        <w:spacing w:after="0" w:line="240" w:lineRule="auto"/>
        <w:rPr>
          <w:i/>
          <w:highlight w:val="yellow"/>
          <w:lang w:val="x-none" w:eastAsia="x-none"/>
        </w:rPr>
      </w:pPr>
    </w:p>
    <w:p w14:paraId="279ED344" w14:textId="77777777" w:rsidR="000934F5" w:rsidRPr="00355BE6" w:rsidRDefault="000934F5" w:rsidP="000934F5">
      <w:pPr>
        <w:spacing w:after="0" w:line="240" w:lineRule="auto"/>
        <w:rPr>
          <w:i/>
          <w:highlight w:val="yellow"/>
          <w:lang w:val="x-none" w:eastAsia="x-none"/>
        </w:rPr>
        <w:sectPr w:rsidR="000934F5" w:rsidRPr="00355BE6" w:rsidSect="00456761">
          <w:headerReference w:type="default" r:id="rId8"/>
          <w:footerReference w:type="default" r:id="rId9"/>
          <w:type w:val="continuous"/>
          <w:pgSz w:w="12240" w:h="15840"/>
          <w:pgMar w:top="1350" w:right="720" w:bottom="720" w:left="720" w:header="720" w:footer="56" w:gutter="0"/>
          <w:cols w:space="720"/>
          <w:docGrid w:linePitch="360"/>
        </w:sectPr>
      </w:pPr>
    </w:p>
    <w:p w14:paraId="387B98F2" w14:textId="77777777" w:rsidR="00756946" w:rsidRPr="0099031C" w:rsidRDefault="00756946" w:rsidP="00756946">
      <w:pPr>
        <w:pStyle w:val="Heading2"/>
        <w:spacing w:before="0"/>
        <w:rPr>
          <w:rStyle w:val="Heading2Char"/>
          <w:rFonts w:ascii="Calibri" w:hAnsi="Calibri"/>
          <w:color w:val="4472C4" w:themeColor="accent5"/>
          <w:sz w:val="32"/>
          <w:lang w:val="en-US"/>
        </w:rPr>
      </w:pPr>
      <w:r>
        <w:rPr>
          <w:rStyle w:val="Heading2Char"/>
          <w:rFonts w:ascii="Calibri" w:hAnsi="Calibri"/>
          <w:color w:val="4472C4" w:themeColor="accent5"/>
          <w:sz w:val="32"/>
          <w:lang w:val="en-US"/>
        </w:rPr>
        <w:t>Introduction</w:t>
      </w:r>
    </w:p>
    <w:p w14:paraId="08CD0931" w14:textId="6DAD826A" w:rsidR="00CF33C5" w:rsidRDefault="00756946" w:rsidP="00756946">
      <w:pPr>
        <w:spacing w:after="80" w:line="240" w:lineRule="auto"/>
        <w:rPr>
          <w:sz w:val="22"/>
        </w:rPr>
      </w:pPr>
      <w:r w:rsidRPr="0099031C">
        <w:rPr>
          <w:sz w:val="22"/>
        </w:rPr>
        <w:t xml:space="preserve">Between April 11-30, 2019, </w:t>
      </w:r>
      <w:proofErr w:type="gramStart"/>
      <w:r w:rsidRPr="0099031C">
        <w:rPr>
          <w:sz w:val="22"/>
        </w:rPr>
        <w:t xml:space="preserve">a telephone-based survey was conducted by </w:t>
      </w:r>
      <w:proofErr w:type="spellStart"/>
      <w:r w:rsidRPr="0099031C">
        <w:rPr>
          <w:sz w:val="22"/>
        </w:rPr>
        <w:t>Bernett</w:t>
      </w:r>
      <w:proofErr w:type="spellEnd"/>
      <w:r w:rsidRPr="0099031C">
        <w:rPr>
          <w:sz w:val="22"/>
        </w:rPr>
        <w:t>,</w:t>
      </w:r>
      <w:proofErr w:type="gramEnd"/>
      <w:r w:rsidRPr="0099031C">
        <w:rPr>
          <w:sz w:val="22"/>
        </w:rPr>
        <w:t xml:space="preserve"> in partnership with the Portland State University (PSU) evaluation team supporting the Home Visiting Systems Coordination (HVSC) project, funded by The Ford Family Foundation (TFFF). </w:t>
      </w:r>
    </w:p>
    <w:p w14:paraId="463B62AA" w14:textId="702EA28C" w:rsidR="00756946" w:rsidRDefault="00756946" w:rsidP="00756946">
      <w:pPr>
        <w:spacing w:after="80" w:line="240" w:lineRule="auto"/>
        <w:rPr>
          <w:sz w:val="22"/>
        </w:rPr>
      </w:pPr>
      <w:r>
        <w:rPr>
          <w:sz w:val="22"/>
        </w:rPr>
        <w:t>The purpose of the survey was to collect information about broad community understanding about the availability and benefits of early childhood home visiting programs. Landline and cell phone numbers were randomly dialed, and screener questions ensured that participants were residents within the target counties and 18 years of age or older.</w:t>
      </w:r>
      <w:r w:rsidR="00881C9C">
        <w:rPr>
          <w:sz w:val="22"/>
        </w:rPr>
        <w:t xml:space="preserve"> The survey </w:t>
      </w:r>
      <w:proofErr w:type="gramStart"/>
      <w:r w:rsidR="00881C9C">
        <w:rPr>
          <w:sz w:val="22"/>
        </w:rPr>
        <w:t>was conducted</w:t>
      </w:r>
      <w:proofErr w:type="gramEnd"/>
      <w:r w:rsidR="00881C9C">
        <w:rPr>
          <w:sz w:val="22"/>
        </w:rPr>
        <w:t xml:space="preserve"> in English.</w:t>
      </w:r>
    </w:p>
    <w:p w14:paraId="481EBDFC" w14:textId="09F9D5E2" w:rsidR="005C2BAD" w:rsidRDefault="005C2BAD" w:rsidP="00756946">
      <w:pPr>
        <w:spacing w:after="80" w:line="240" w:lineRule="auto"/>
        <w:rPr>
          <w:sz w:val="22"/>
        </w:rPr>
      </w:pPr>
      <w:r>
        <w:rPr>
          <w:sz w:val="22"/>
        </w:rPr>
        <w:t xml:space="preserve">Participants </w:t>
      </w:r>
      <w:proofErr w:type="gramStart"/>
      <w:r>
        <w:rPr>
          <w:sz w:val="22"/>
        </w:rPr>
        <w:t>were given</w:t>
      </w:r>
      <w:proofErr w:type="gramEnd"/>
      <w:r>
        <w:rPr>
          <w:sz w:val="22"/>
        </w:rPr>
        <w:t xml:space="preserve"> the option of finishing the survey via an electronic survey link emailed or texted to them, if they did not wish to complete the survey on the phone. All surveys </w:t>
      </w:r>
      <w:proofErr w:type="gramStart"/>
      <w:r>
        <w:rPr>
          <w:sz w:val="22"/>
        </w:rPr>
        <w:t>were completed</w:t>
      </w:r>
      <w:proofErr w:type="gramEnd"/>
      <w:r>
        <w:rPr>
          <w:sz w:val="22"/>
        </w:rPr>
        <w:t xml:space="preserve"> by phone.</w:t>
      </w:r>
    </w:p>
    <w:p w14:paraId="333A873E" w14:textId="77777777" w:rsidR="00756946" w:rsidRPr="0099031C" w:rsidRDefault="00756946" w:rsidP="00756946">
      <w:pPr>
        <w:pStyle w:val="Heading2"/>
        <w:rPr>
          <w:rStyle w:val="Heading2Char"/>
          <w:rFonts w:ascii="Calibri" w:hAnsi="Calibri"/>
          <w:color w:val="4472C4" w:themeColor="accent5"/>
          <w:sz w:val="32"/>
          <w:lang w:val="en-US"/>
        </w:rPr>
      </w:pPr>
      <w:r>
        <w:rPr>
          <w:rStyle w:val="Heading2Char"/>
          <w:rFonts w:ascii="Calibri" w:hAnsi="Calibri"/>
          <w:color w:val="4472C4" w:themeColor="accent5"/>
          <w:sz w:val="32"/>
          <w:lang w:val="en-US"/>
        </w:rPr>
        <w:t>Survey Participants</w:t>
      </w:r>
    </w:p>
    <w:p w14:paraId="6D79E3DD" w14:textId="56B119AD" w:rsidR="00CD342E" w:rsidRDefault="00355BE6" w:rsidP="00CD342E">
      <w:pPr>
        <w:spacing w:after="80" w:line="240" w:lineRule="auto"/>
        <w:rPr>
          <w:b/>
          <w:sz w:val="22"/>
        </w:rPr>
      </w:pPr>
      <w:r w:rsidRPr="00355BE6">
        <w:rPr>
          <w:b/>
          <w:sz w:val="22"/>
        </w:rPr>
        <w:t xml:space="preserve">The total number of calls completed </w:t>
      </w:r>
      <w:r w:rsidR="000934F5">
        <w:rPr>
          <w:b/>
          <w:sz w:val="22"/>
        </w:rPr>
        <w:t>is</w:t>
      </w:r>
      <w:r w:rsidRPr="00355BE6">
        <w:rPr>
          <w:b/>
          <w:sz w:val="22"/>
        </w:rPr>
        <w:t xml:space="preserve"> proportionate to each county’s </w:t>
      </w:r>
      <w:r w:rsidR="00B479C1">
        <w:rPr>
          <w:b/>
          <w:sz w:val="22"/>
        </w:rPr>
        <w:t xml:space="preserve">adult </w:t>
      </w:r>
      <w:r w:rsidRPr="00355BE6">
        <w:rPr>
          <w:b/>
          <w:sz w:val="22"/>
        </w:rPr>
        <w:t>population.</w:t>
      </w:r>
    </w:p>
    <w:tbl>
      <w:tblPr>
        <w:tblStyle w:val="TableGrid"/>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20"/>
        <w:gridCol w:w="1290"/>
        <w:gridCol w:w="1320"/>
      </w:tblGrid>
      <w:tr w:rsidR="006404E9" w:rsidRPr="006404E9" w14:paraId="01608A8F" w14:textId="77777777" w:rsidTr="006404E9">
        <w:tc>
          <w:tcPr>
            <w:tcW w:w="900" w:type="dxa"/>
            <w:tcBorders>
              <w:top w:val="single" w:sz="4" w:space="0" w:color="auto"/>
              <w:bottom w:val="single" w:sz="4" w:space="0" w:color="auto"/>
            </w:tcBorders>
            <w:shd w:val="clear" w:color="auto" w:fill="D9D9D9" w:themeFill="background1" w:themeFillShade="D9"/>
            <w:vAlign w:val="bottom"/>
          </w:tcPr>
          <w:p w14:paraId="72CC2F2E" w14:textId="74ACBFD8" w:rsidR="006404E9" w:rsidRPr="006404E9" w:rsidRDefault="006404E9" w:rsidP="0070291D">
            <w:pPr>
              <w:spacing w:after="0" w:line="240" w:lineRule="auto"/>
              <w:rPr>
                <w:sz w:val="20"/>
                <w:szCs w:val="20"/>
              </w:rPr>
            </w:pPr>
            <w:r w:rsidRPr="006404E9">
              <w:rPr>
                <w:sz w:val="20"/>
                <w:szCs w:val="20"/>
              </w:rPr>
              <w:t>County</w:t>
            </w:r>
          </w:p>
        </w:tc>
        <w:tc>
          <w:tcPr>
            <w:tcW w:w="1620" w:type="dxa"/>
            <w:tcBorders>
              <w:top w:val="single" w:sz="4" w:space="0" w:color="auto"/>
              <w:bottom w:val="single" w:sz="4" w:space="0" w:color="auto"/>
            </w:tcBorders>
            <w:shd w:val="clear" w:color="auto" w:fill="D9D9D9" w:themeFill="background1" w:themeFillShade="D9"/>
          </w:tcPr>
          <w:p w14:paraId="1E3ADF57" w14:textId="33C30513" w:rsidR="006404E9" w:rsidRPr="006404E9" w:rsidRDefault="006404E9" w:rsidP="0070291D">
            <w:pPr>
              <w:spacing w:after="0" w:line="240" w:lineRule="auto"/>
              <w:jc w:val="center"/>
              <w:rPr>
                <w:sz w:val="20"/>
                <w:szCs w:val="20"/>
              </w:rPr>
            </w:pPr>
            <w:r w:rsidRPr="006404E9">
              <w:rPr>
                <w:sz w:val="20"/>
                <w:szCs w:val="20"/>
              </w:rPr>
              <w:t>Number of Calls Completed</w:t>
            </w:r>
          </w:p>
        </w:tc>
        <w:tc>
          <w:tcPr>
            <w:tcW w:w="1290" w:type="dxa"/>
            <w:tcBorders>
              <w:top w:val="single" w:sz="4" w:space="0" w:color="auto"/>
              <w:bottom w:val="single" w:sz="4" w:space="0" w:color="auto"/>
            </w:tcBorders>
            <w:shd w:val="clear" w:color="auto" w:fill="D9D9D9" w:themeFill="background1" w:themeFillShade="D9"/>
          </w:tcPr>
          <w:p w14:paraId="5396C82C" w14:textId="4054EC33" w:rsidR="006404E9" w:rsidRPr="006404E9" w:rsidRDefault="006404E9" w:rsidP="0070291D">
            <w:pPr>
              <w:spacing w:after="0" w:line="240" w:lineRule="auto"/>
              <w:jc w:val="center"/>
              <w:rPr>
                <w:sz w:val="20"/>
                <w:szCs w:val="20"/>
              </w:rPr>
            </w:pPr>
            <w:r w:rsidRPr="006404E9">
              <w:rPr>
                <w:sz w:val="20"/>
                <w:szCs w:val="20"/>
              </w:rPr>
              <w:t>% of Calls Completed</w:t>
            </w:r>
          </w:p>
        </w:tc>
        <w:tc>
          <w:tcPr>
            <w:tcW w:w="1320" w:type="dxa"/>
            <w:tcBorders>
              <w:top w:val="single" w:sz="4" w:space="0" w:color="auto"/>
              <w:bottom w:val="single" w:sz="4" w:space="0" w:color="auto"/>
            </w:tcBorders>
            <w:shd w:val="clear" w:color="auto" w:fill="D9D9D9" w:themeFill="background1" w:themeFillShade="D9"/>
          </w:tcPr>
          <w:p w14:paraId="5A8A2955" w14:textId="3692B204" w:rsidR="006404E9" w:rsidRPr="006404E9" w:rsidRDefault="006404E9" w:rsidP="003A45B9">
            <w:pPr>
              <w:spacing w:after="0" w:line="240" w:lineRule="auto"/>
              <w:jc w:val="center"/>
              <w:rPr>
                <w:sz w:val="20"/>
                <w:szCs w:val="20"/>
              </w:rPr>
            </w:pPr>
            <w:r w:rsidRPr="006404E9">
              <w:rPr>
                <w:sz w:val="20"/>
                <w:szCs w:val="20"/>
              </w:rPr>
              <w:t>% of County Population</w:t>
            </w:r>
            <w:r w:rsidR="004C5BE7">
              <w:rPr>
                <w:rStyle w:val="FootnoteReference"/>
                <w:sz w:val="20"/>
                <w:szCs w:val="20"/>
              </w:rPr>
              <w:footnoteReference w:id="1"/>
            </w:r>
          </w:p>
        </w:tc>
      </w:tr>
      <w:tr w:rsidR="006404E9" w:rsidRPr="00082E9C" w14:paraId="11537AE1" w14:textId="77777777" w:rsidTr="006404E9">
        <w:tc>
          <w:tcPr>
            <w:tcW w:w="900" w:type="dxa"/>
            <w:tcBorders>
              <w:top w:val="single" w:sz="4" w:space="0" w:color="auto"/>
              <w:bottom w:val="single" w:sz="4" w:space="0" w:color="auto"/>
            </w:tcBorders>
            <w:vAlign w:val="center"/>
          </w:tcPr>
          <w:p w14:paraId="6FB039E8" w14:textId="441A3B9A" w:rsidR="006404E9" w:rsidRPr="00082E9C" w:rsidRDefault="006404E9" w:rsidP="0070291D">
            <w:pPr>
              <w:spacing w:after="0" w:line="240" w:lineRule="auto"/>
              <w:rPr>
                <w:sz w:val="20"/>
                <w:szCs w:val="20"/>
              </w:rPr>
            </w:pPr>
            <w:r>
              <w:rPr>
                <w:sz w:val="20"/>
                <w:szCs w:val="20"/>
              </w:rPr>
              <w:t>Coos</w:t>
            </w:r>
          </w:p>
        </w:tc>
        <w:tc>
          <w:tcPr>
            <w:tcW w:w="1620" w:type="dxa"/>
            <w:tcBorders>
              <w:top w:val="single" w:sz="4" w:space="0" w:color="auto"/>
              <w:bottom w:val="single" w:sz="4" w:space="0" w:color="auto"/>
            </w:tcBorders>
            <w:vAlign w:val="center"/>
          </w:tcPr>
          <w:p w14:paraId="56AA6EB2" w14:textId="6007978D" w:rsidR="006404E9" w:rsidRPr="00082E9C" w:rsidRDefault="006404E9" w:rsidP="006404E9">
            <w:pPr>
              <w:spacing w:after="0" w:line="240" w:lineRule="auto"/>
              <w:jc w:val="right"/>
              <w:rPr>
                <w:sz w:val="22"/>
              </w:rPr>
            </w:pPr>
            <w:r>
              <w:rPr>
                <w:sz w:val="22"/>
              </w:rPr>
              <w:t>249</w:t>
            </w:r>
          </w:p>
        </w:tc>
        <w:tc>
          <w:tcPr>
            <w:tcW w:w="1290" w:type="dxa"/>
            <w:tcBorders>
              <w:top w:val="single" w:sz="4" w:space="0" w:color="auto"/>
              <w:bottom w:val="single" w:sz="4" w:space="0" w:color="auto"/>
            </w:tcBorders>
            <w:vAlign w:val="center"/>
          </w:tcPr>
          <w:p w14:paraId="636579F4" w14:textId="4CAD8D4C" w:rsidR="006404E9" w:rsidRPr="00082E9C" w:rsidRDefault="00B479C1" w:rsidP="006404E9">
            <w:pPr>
              <w:spacing w:after="0" w:line="240" w:lineRule="auto"/>
              <w:jc w:val="right"/>
              <w:rPr>
                <w:sz w:val="22"/>
              </w:rPr>
            </w:pPr>
            <w:r>
              <w:rPr>
                <w:sz w:val="22"/>
              </w:rPr>
              <w:t>20.8</w:t>
            </w:r>
            <w:r w:rsidR="006404E9">
              <w:rPr>
                <w:sz w:val="22"/>
              </w:rPr>
              <w:t>%</w:t>
            </w:r>
          </w:p>
        </w:tc>
        <w:tc>
          <w:tcPr>
            <w:tcW w:w="1320" w:type="dxa"/>
            <w:tcBorders>
              <w:top w:val="single" w:sz="4" w:space="0" w:color="auto"/>
              <w:bottom w:val="single" w:sz="4" w:space="0" w:color="auto"/>
            </w:tcBorders>
            <w:vAlign w:val="center"/>
          </w:tcPr>
          <w:p w14:paraId="470476EF" w14:textId="44BCB146" w:rsidR="006404E9" w:rsidRPr="00082E9C" w:rsidRDefault="00B479C1" w:rsidP="006404E9">
            <w:pPr>
              <w:spacing w:after="0" w:line="240" w:lineRule="auto"/>
              <w:jc w:val="right"/>
              <w:rPr>
                <w:sz w:val="22"/>
              </w:rPr>
            </w:pPr>
            <w:r>
              <w:rPr>
                <w:sz w:val="22"/>
              </w:rPr>
              <w:t>20.5%</w:t>
            </w:r>
          </w:p>
        </w:tc>
      </w:tr>
      <w:tr w:rsidR="006404E9" w:rsidRPr="00082E9C" w14:paraId="3AB78310" w14:textId="77777777" w:rsidTr="006404E9">
        <w:tc>
          <w:tcPr>
            <w:tcW w:w="900" w:type="dxa"/>
            <w:tcBorders>
              <w:top w:val="single" w:sz="4" w:space="0" w:color="auto"/>
              <w:bottom w:val="single" w:sz="4" w:space="0" w:color="auto"/>
            </w:tcBorders>
            <w:vAlign w:val="center"/>
          </w:tcPr>
          <w:p w14:paraId="605796FF" w14:textId="2CC47156" w:rsidR="006404E9" w:rsidRDefault="006404E9" w:rsidP="0070291D">
            <w:pPr>
              <w:spacing w:after="0" w:line="240" w:lineRule="auto"/>
              <w:rPr>
                <w:sz w:val="20"/>
                <w:szCs w:val="20"/>
              </w:rPr>
            </w:pPr>
            <w:r>
              <w:rPr>
                <w:sz w:val="20"/>
                <w:szCs w:val="20"/>
              </w:rPr>
              <w:t>Curry</w:t>
            </w:r>
          </w:p>
        </w:tc>
        <w:tc>
          <w:tcPr>
            <w:tcW w:w="1620" w:type="dxa"/>
            <w:tcBorders>
              <w:top w:val="single" w:sz="4" w:space="0" w:color="auto"/>
              <w:bottom w:val="single" w:sz="4" w:space="0" w:color="auto"/>
            </w:tcBorders>
            <w:vAlign w:val="center"/>
          </w:tcPr>
          <w:p w14:paraId="1B48ABB3" w14:textId="2F5E4458" w:rsidR="006404E9" w:rsidRDefault="006404E9" w:rsidP="006404E9">
            <w:pPr>
              <w:spacing w:after="0" w:line="240" w:lineRule="auto"/>
              <w:jc w:val="right"/>
              <w:rPr>
                <w:sz w:val="22"/>
              </w:rPr>
            </w:pPr>
            <w:r>
              <w:rPr>
                <w:sz w:val="22"/>
              </w:rPr>
              <w:t>86</w:t>
            </w:r>
          </w:p>
        </w:tc>
        <w:tc>
          <w:tcPr>
            <w:tcW w:w="1290" w:type="dxa"/>
            <w:tcBorders>
              <w:top w:val="single" w:sz="4" w:space="0" w:color="auto"/>
              <w:bottom w:val="single" w:sz="4" w:space="0" w:color="auto"/>
            </w:tcBorders>
            <w:vAlign w:val="center"/>
          </w:tcPr>
          <w:p w14:paraId="4DEFBD8E" w14:textId="1470CA4A" w:rsidR="006404E9" w:rsidRDefault="006404E9" w:rsidP="006404E9">
            <w:pPr>
              <w:spacing w:after="0" w:line="240" w:lineRule="auto"/>
              <w:jc w:val="right"/>
              <w:rPr>
                <w:sz w:val="22"/>
              </w:rPr>
            </w:pPr>
            <w:r>
              <w:rPr>
                <w:sz w:val="22"/>
              </w:rPr>
              <w:t>7</w:t>
            </w:r>
            <w:r w:rsidR="00B479C1">
              <w:rPr>
                <w:sz w:val="22"/>
              </w:rPr>
              <w:t>.2</w:t>
            </w:r>
            <w:r>
              <w:rPr>
                <w:sz w:val="22"/>
              </w:rPr>
              <w:t>%</w:t>
            </w:r>
          </w:p>
        </w:tc>
        <w:tc>
          <w:tcPr>
            <w:tcW w:w="1320" w:type="dxa"/>
            <w:tcBorders>
              <w:top w:val="single" w:sz="4" w:space="0" w:color="auto"/>
              <w:bottom w:val="single" w:sz="4" w:space="0" w:color="auto"/>
            </w:tcBorders>
            <w:vAlign w:val="center"/>
          </w:tcPr>
          <w:p w14:paraId="0147CE07" w14:textId="301A7296" w:rsidR="006404E9" w:rsidRPr="00005437" w:rsidRDefault="00B479C1" w:rsidP="006404E9">
            <w:pPr>
              <w:spacing w:after="0" w:line="240" w:lineRule="auto"/>
              <w:jc w:val="right"/>
              <w:rPr>
                <w:sz w:val="22"/>
              </w:rPr>
            </w:pPr>
            <w:r>
              <w:rPr>
                <w:sz w:val="22"/>
              </w:rPr>
              <w:t>7.6%</w:t>
            </w:r>
          </w:p>
        </w:tc>
      </w:tr>
      <w:tr w:rsidR="006404E9" w:rsidRPr="00082E9C" w14:paraId="2C2F0CBB" w14:textId="77777777" w:rsidTr="006404E9">
        <w:tc>
          <w:tcPr>
            <w:tcW w:w="900" w:type="dxa"/>
            <w:tcBorders>
              <w:top w:val="single" w:sz="4" w:space="0" w:color="auto"/>
              <w:bottom w:val="single" w:sz="4" w:space="0" w:color="auto"/>
            </w:tcBorders>
            <w:vAlign w:val="center"/>
          </w:tcPr>
          <w:p w14:paraId="369F601B" w14:textId="52935AD1" w:rsidR="006404E9" w:rsidRDefault="006404E9" w:rsidP="0070291D">
            <w:pPr>
              <w:spacing w:after="0" w:line="240" w:lineRule="auto"/>
              <w:rPr>
                <w:sz w:val="20"/>
                <w:szCs w:val="20"/>
              </w:rPr>
            </w:pPr>
            <w:r>
              <w:rPr>
                <w:sz w:val="20"/>
                <w:szCs w:val="20"/>
              </w:rPr>
              <w:t>Douglas</w:t>
            </w:r>
          </w:p>
        </w:tc>
        <w:tc>
          <w:tcPr>
            <w:tcW w:w="1620" w:type="dxa"/>
            <w:tcBorders>
              <w:top w:val="single" w:sz="4" w:space="0" w:color="auto"/>
              <w:bottom w:val="single" w:sz="4" w:space="0" w:color="auto"/>
            </w:tcBorders>
            <w:vAlign w:val="center"/>
          </w:tcPr>
          <w:p w14:paraId="1B36CD5E" w14:textId="4FC031FA" w:rsidR="006404E9" w:rsidRDefault="006404E9" w:rsidP="006404E9">
            <w:pPr>
              <w:spacing w:after="0" w:line="240" w:lineRule="auto"/>
              <w:jc w:val="right"/>
              <w:rPr>
                <w:sz w:val="22"/>
              </w:rPr>
            </w:pPr>
            <w:r>
              <w:rPr>
                <w:sz w:val="22"/>
              </w:rPr>
              <w:t>415</w:t>
            </w:r>
          </w:p>
        </w:tc>
        <w:tc>
          <w:tcPr>
            <w:tcW w:w="1290" w:type="dxa"/>
            <w:tcBorders>
              <w:top w:val="single" w:sz="4" w:space="0" w:color="auto"/>
              <w:bottom w:val="single" w:sz="4" w:space="0" w:color="auto"/>
            </w:tcBorders>
            <w:vAlign w:val="center"/>
          </w:tcPr>
          <w:p w14:paraId="207155A9" w14:textId="4057E1DF" w:rsidR="006404E9" w:rsidRDefault="00B479C1" w:rsidP="006404E9">
            <w:pPr>
              <w:spacing w:after="0" w:line="240" w:lineRule="auto"/>
              <w:jc w:val="right"/>
              <w:rPr>
                <w:sz w:val="22"/>
              </w:rPr>
            </w:pPr>
            <w:r>
              <w:rPr>
                <w:sz w:val="22"/>
              </w:rPr>
              <w:t>34.6</w:t>
            </w:r>
            <w:r w:rsidR="006404E9">
              <w:rPr>
                <w:sz w:val="22"/>
              </w:rPr>
              <w:t>%</w:t>
            </w:r>
          </w:p>
        </w:tc>
        <w:tc>
          <w:tcPr>
            <w:tcW w:w="1320" w:type="dxa"/>
            <w:tcBorders>
              <w:top w:val="single" w:sz="4" w:space="0" w:color="auto"/>
              <w:bottom w:val="single" w:sz="4" w:space="0" w:color="auto"/>
            </w:tcBorders>
            <w:vAlign w:val="center"/>
          </w:tcPr>
          <w:p w14:paraId="36EFE4F3" w14:textId="330FC162" w:rsidR="006404E9" w:rsidRPr="00005437" w:rsidRDefault="00B479C1" w:rsidP="006404E9">
            <w:pPr>
              <w:spacing w:after="0" w:line="240" w:lineRule="auto"/>
              <w:jc w:val="right"/>
              <w:rPr>
                <w:sz w:val="22"/>
              </w:rPr>
            </w:pPr>
            <w:r>
              <w:rPr>
                <w:sz w:val="22"/>
              </w:rPr>
              <w:t>34.7%</w:t>
            </w:r>
          </w:p>
        </w:tc>
      </w:tr>
      <w:tr w:rsidR="006404E9" w:rsidRPr="00082E9C" w14:paraId="614BCB1D" w14:textId="77777777" w:rsidTr="006404E9">
        <w:tc>
          <w:tcPr>
            <w:tcW w:w="900" w:type="dxa"/>
            <w:tcBorders>
              <w:top w:val="single" w:sz="4" w:space="0" w:color="auto"/>
              <w:bottom w:val="single" w:sz="4" w:space="0" w:color="auto"/>
            </w:tcBorders>
            <w:vAlign w:val="center"/>
          </w:tcPr>
          <w:p w14:paraId="6E66544A" w14:textId="7BAF39B4" w:rsidR="006404E9" w:rsidRDefault="006404E9" w:rsidP="0070291D">
            <w:pPr>
              <w:spacing w:after="0" w:line="240" w:lineRule="auto"/>
              <w:rPr>
                <w:sz w:val="20"/>
                <w:szCs w:val="20"/>
              </w:rPr>
            </w:pPr>
            <w:r>
              <w:rPr>
                <w:sz w:val="20"/>
                <w:szCs w:val="20"/>
              </w:rPr>
              <w:t>Klamath</w:t>
            </w:r>
          </w:p>
        </w:tc>
        <w:tc>
          <w:tcPr>
            <w:tcW w:w="1620" w:type="dxa"/>
            <w:tcBorders>
              <w:top w:val="single" w:sz="4" w:space="0" w:color="auto"/>
              <w:bottom w:val="single" w:sz="4" w:space="0" w:color="auto"/>
            </w:tcBorders>
            <w:vAlign w:val="center"/>
          </w:tcPr>
          <w:p w14:paraId="66BCA054" w14:textId="5EA65B7F" w:rsidR="006404E9" w:rsidRDefault="006404E9" w:rsidP="006404E9">
            <w:pPr>
              <w:spacing w:after="0" w:line="240" w:lineRule="auto"/>
              <w:jc w:val="right"/>
              <w:rPr>
                <w:sz w:val="22"/>
              </w:rPr>
            </w:pPr>
            <w:r>
              <w:rPr>
                <w:sz w:val="22"/>
              </w:rPr>
              <w:t>254</w:t>
            </w:r>
          </w:p>
        </w:tc>
        <w:tc>
          <w:tcPr>
            <w:tcW w:w="1290" w:type="dxa"/>
            <w:tcBorders>
              <w:top w:val="single" w:sz="4" w:space="0" w:color="auto"/>
              <w:bottom w:val="single" w:sz="4" w:space="0" w:color="auto"/>
            </w:tcBorders>
            <w:vAlign w:val="center"/>
          </w:tcPr>
          <w:p w14:paraId="6D5FA3AF" w14:textId="1B48725E" w:rsidR="006404E9" w:rsidRDefault="006404E9" w:rsidP="006404E9">
            <w:pPr>
              <w:spacing w:after="0" w:line="240" w:lineRule="auto"/>
              <w:jc w:val="right"/>
              <w:rPr>
                <w:sz w:val="22"/>
              </w:rPr>
            </w:pPr>
            <w:r>
              <w:rPr>
                <w:sz w:val="22"/>
              </w:rPr>
              <w:t>21</w:t>
            </w:r>
            <w:r w:rsidR="00B479C1">
              <w:rPr>
                <w:sz w:val="22"/>
              </w:rPr>
              <w:t>.2</w:t>
            </w:r>
            <w:r>
              <w:rPr>
                <w:sz w:val="22"/>
              </w:rPr>
              <w:t>%</w:t>
            </w:r>
          </w:p>
        </w:tc>
        <w:tc>
          <w:tcPr>
            <w:tcW w:w="1320" w:type="dxa"/>
            <w:tcBorders>
              <w:top w:val="single" w:sz="4" w:space="0" w:color="auto"/>
              <w:bottom w:val="single" w:sz="4" w:space="0" w:color="auto"/>
            </w:tcBorders>
            <w:vAlign w:val="center"/>
          </w:tcPr>
          <w:p w14:paraId="0917635E" w14:textId="2ADF1993" w:rsidR="006404E9" w:rsidRPr="00005437" w:rsidRDefault="00B479C1" w:rsidP="006404E9">
            <w:pPr>
              <w:spacing w:after="0" w:line="240" w:lineRule="auto"/>
              <w:jc w:val="right"/>
              <w:rPr>
                <w:sz w:val="22"/>
              </w:rPr>
            </w:pPr>
            <w:r>
              <w:rPr>
                <w:sz w:val="22"/>
              </w:rPr>
              <w:t>20.7%</w:t>
            </w:r>
          </w:p>
        </w:tc>
      </w:tr>
      <w:tr w:rsidR="006404E9" w:rsidRPr="00082E9C" w14:paraId="5CE54127" w14:textId="77777777" w:rsidTr="006404E9">
        <w:tc>
          <w:tcPr>
            <w:tcW w:w="900" w:type="dxa"/>
            <w:tcBorders>
              <w:top w:val="single" w:sz="4" w:space="0" w:color="auto"/>
              <w:bottom w:val="single" w:sz="4" w:space="0" w:color="auto"/>
            </w:tcBorders>
            <w:vAlign w:val="center"/>
          </w:tcPr>
          <w:p w14:paraId="416EFE0F" w14:textId="619D2C78" w:rsidR="006404E9" w:rsidRDefault="006404E9" w:rsidP="0070291D">
            <w:pPr>
              <w:spacing w:after="0" w:line="240" w:lineRule="auto"/>
              <w:rPr>
                <w:sz w:val="20"/>
                <w:szCs w:val="20"/>
              </w:rPr>
            </w:pPr>
            <w:r>
              <w:rPr>
                <w:sz w:val="20"/>
                <w:szCs w:val="20"/>
              </w:rPr>
              <w:t>Lake</w:t>
            </w:r>
          </w:p>
        </w:tc>
        <w:tc>
          <w:tcPr>
            <w:tcW w:w="1620" w:type="dxa"/>
            <w:tcBorders>
              <w:top w:val="single" w:sz="4" w:space="0" w:color="auto"/>
              <w:bottom w:val="single" w:sz="4" w:space="0" w:color="auto"/>
            </w:tcBorders>
            <w:vAlign w:val="center"/>
          </w:tcPr>
          <w:p w14:paraId="5A155CBD" w14:textId="3A2CDF25" w:rsidR="006404E9" w:rsidRDefault="006404E9" w:rsidP="006404E9">
            <w:pPr>
              <w:spacing w:after="0" w:line="240" w:lineRule="auto"/>
              <w:jc w:val="right"/>
              <w:rPr>
                <w:sz w:val="22"/>
              </w:rPr>
            </w:pPr>
            <w:r>
              <w:rPr>
                <w:sz w:val="22"/>
              </w:rPr>
              <w:t>29</w:t>
            </w:r>
          </w:p>
        </w:tc>
        <w:tc>
          <w:tcPr>
            <w:tcW w:w="1290" w:type="dxa"/>
            <w:tcBorders>
              <w:top w:val="single" w:sz="4" w:space="0" w:color="auto"/>
              <w:bottom w:val="single" w:sz="4" w:space="0" w:color="auto"/>
            </w:tcBorders>
            <w:vAlign w:val="center"/>
          </w:tcPr>
          <w:p w14:paraId="0093AFF5" w14:textId="670E6CC6" w:rsidR="006404E9" w:rsidRDefault="006404E9" w:rsidP="006404E9">
            <w:pPr>
              <w:spacing w:after="0" w:line="240" w:lineRule="auto"/>
              <w:jc w:val="right"/>
              <w:rPr>
                <w:sz w:val="22"/>
              </w:rPr>
            </w:pPr>
            <w:r>
              <w:rPr>
                <w:sz w:val="22"/>
              </w:rPr>
              <w:t>2</w:t>
            </w:r>
            <w:r w:rsidR="00B479C1">
              <w:rPr>
                <w:sz w:val="22"/>
              </w:rPr>
              <w:t>.4</w:t>
            </w:r>
            <w:r>
              <w:rPr>
                <w:sz w:val="22"/>
              </w:rPr>
              <w:t>%</w:t>
            </w:r>
          </w:p>
        </w:tc>
        <w:tc>
          <w:tcPr>
            <w:tcW w:w="1320" w:type="dxa"/>
            <w:tcBorders>
              <w:top w:val="single" w:sz="4" w:space="0" w:color="auto"/>
              <w:bottom w:val="single" w:sz="4" w:space="0" w:color="auto"/>
            </w:tcBorders>
            <w:vAlign w:val="center"/>
          </w:tcPr>
          <w:p w14:paraId="3CD1EFB2" w14:textId="0CC7B2C3" w:rsidR="006404E9" w:rsidRPr="00005437" w:rsidRDefault="00B479C1" w:rsidP="006404E9">
            <w:pPr>
              <w:spacing w:after="0" w:line="240" w:lineRule="auto"/>
              <w:jc w:val="right"/>
              <w:rPr>
                <w:sz w:val="22"/>
              </w:rPr>
            </w:pPr>
            <w:r>
              <w:rPr>
                <w:sz w:val="22"/>
              </w:rPr>
              <w:t>2.5%</w:t>
            </w:r>
          </w:p>
        </w:tc>
      </w:tr>
      <w:tr w:rsidR="006404E9" w:rsidRPr="00082E9C" w14:paraId="5997D94C" w14:textId="77777777" w:rsidTr="006404E9">
        <w:tc>
          <w:tcPr>
            <w:tcW w:w="900" w:type="dxa"/>
            <w:tcBorders>
              <w:top w:val="single" w:sz="4" w:space="0" w:color="auto"/>
              <w:bottom w:val="single" w:sz="4" w:space="0" w:color="auto"/>
            </w:tcBorders>
            <w:vAlign w:val="center"/>
          </w:tcPr>
          <w:p w14:paraId="047BEB3C" w14:textId="63971326" w:rsidR="006404E9" w:rsidRDefault="006404E9" w:rsidP="0070291D">
            <w:pPr>
              <w:spacing w:after="0" w:line="240" w:lineRule="auto"/>
              <w:rPr>
                <w:sz w:val="20"/>
                <w:szCs w:val="20"/>
              </w:rPr>
            </w:pPr>
            <w:r>
              <w:rPr>
                <w:sz w:val="20"/>
                <w:szCs w:val="20"/>
              </w:rPr>
              <w:t>Siskiyou</w:t>
            </w:r>
          </w:p>
        </w:tc>
        <w:tc>
          <w:tcPr>
            <w:tcW w:w="1620" w:type="dxa"/>
            <w:tcBorders>
              <w:top w:val="single" w:sz="4" w:space="0" w:color="auto"/>
              <w:bottom w:val="single" w:sz="4" w:space="0" w:color="auto"/>
            </w:tcBorders>
            <w:vAlign w:val="center"/>
          </w:tcPr>
          <w:p w14:paraId="20FC0902" w14:textId="7D82851E" w:rsidR="006404E9" w:rsidRDefault="006404E9" w:rsidP="006404E9">
            <w:pPr>
              <w:spacing w:after="0" w:line="240" w:lineRule="auto"/>
              <w:jc w:val="right"/>
              <w:rPr>
                <w:sz w:val="22"/>
              </w:rPr>
            </w:pPr>
            <w:r>
              <w:rPr>
                <w:sz w:val="22"/>
              </w:rPr>
              <w:t>167</w:t>
            </w:r>
          </w:p>
        </w:tc>
        <w:tc>
          <w:tcPr>
            <w:tcW w:w="1290" w:type="dxa"/>
            <w:tcBorders>
              <w:top w:val="single" w:sz="4" w:space="0" w:color="auto"/>
              <w:bottom w:val="single" w:sz="4" w:space="0" w:color="auto"/>
            </w:tcBorders>
            <w:vAlign w:val="center"/>
          </w:tcPr>
          <w:p w14:paraId="7FF24BA4" w14:textId="4759A027" w:rsidR="006404E9" w:rsidRDefault="00B479C1" w:rsidP="006404E9">
            <w:pPr>
              <w:spacing w:after="0" w:line="240" w:lineRule="auto"/>
              <w:jc w:val="right"/>
              <w:rPr>
                <w:sz w:val="22"/>
              </w:rPr>
            </w:pPr>
            <w:r>
              <w:rPr>
                <w:sz w:val="22"/>
              </w:rPr>
              <w:t>13.9</w:t>
            </w:r>
            <w:r w:rsidR="006404E9">
              <w:rPr>
                <w:sz w:val="22"/>
              </w:rPr>
              <w:t>%</w:t>
            </w:r>
          </w:p>
        </w:tc>
        <w:tc>
          <w:tcPr>
            <w:tcW w:w="1320" w:type="dxa"/>
            <w:tcBorders>
              <w:top w:val="single" w:sz="4" w:space="0" w:color="auto"/>
              <w:bottom w:val="single" w:sz="4" w:space="0" w:color="auto"/>
            </w:tcBorders>
            <w:vAlign w:val="center"/>
          </w:tcPr>
          <w:p w14:paraId="0D4CE272" w14:textId="5B041E70" w:rsidR="006404E9" w:rsidRPr="00005437" w:rsidRDefault="00B479C1" w:rsidP="006404E9">
            <w:pPr>
              <w:spacing w:after="0" w:line="240" w:lineRule="auto"/>
              <w:jc w:val="right"/>
              <w:rPr>
                <w:sz w:val="22"/>
              </w:rPr>
            </w:pPr>
            <w:r>
              <w:rPr>
                <w:sz w:val="22"/>
              </w:rPr>
              <w:t>13.9%</w:t>
            </w:r>
          </w:p>
        </w:tc>
      </w:tr>
      <w:tr w:rsidR="006404E9" w:rsidRPr="00082E9C" w14:paraId="54BA11CF" w14:textId="77777777" w:rsidTr="006404E9">
        <w:tc>
          <w:tcPr>
            <w:tcW w:w="900" w:type="dxa"/>
            <w:tcBorders>
              <w:top w:val="single" w:sz="4" w:space="0" w:color="auto"/>
              <w:bottom w:val="single" w:sz="4" w:space="0" w:color="auto"/>
            </w:tcBorders>
            <w:vAlign w:val="center"/>
          </w:tcPr>
          <w:p w14:paraId="4DE96C2C" w14:textId="548611B8" w:rsidR="006404E9" w:rsidRDefault="006404E9" w:rsidP="0070291D">
            <w:pPr>
              <w:spacing w:after="0" w:line="240" w:lineRule="auto"/>
              <w:rPr>
                <w:sz w:val="20"/>
                <w:szCs w:val="20"/>
              </w:rPr>
            </w:pPr>
            <w:r>
              <w:rPr>
                <w:sz w:val="20"/>
                <w:szCs w:val="20"/>
              </w:rPr>
              <w:t>TOTAL</w:t>
            </w:r>
          </w:p>
        </w:tc>
        <w:tc>
          <w:tcPr>
            <w:tcW w:w="1620" w:type="dxa"/>
            <w:tcBorders>
              <w:top w:val="single" w:sz="4" w:space="0" w:color="auto"/>
              <w:bottom w:val="single" w:sz="4" w:space="0" w:color="auto"/>
            </w:tcBorders>
            <w:vAlign w:val="center"/>
          </w:tcPr>
          <w:p w14:paraId="0EE7A55C" w14:textId="639C05CE" w:rsidR="006404E9" w:rsidRDefault="006404E9" w:rsidP="006404E9">
            <w:pPr>
              <w:spacing w:after="0" w:line="240" w:lineRule="auto"/>
              <w:jc w:val="right"/>
              <w:rPr>
                <w:sz w:val="22"/>
              </w:rPr>
            </w:pPr>
            <w:r>
              <w:rPr>
                <w:sz w:val="22"/>
              </w:rPr>
              <w:t>1200</w:t>
            </w:r>
          </w:p>
        </w:tc>
        <w:tc>
          <w:tcPr>
            <w:tcW w:w="1290" w:type="dxa"/>
            <w:tcBorders>
              <w:top w:val="single" w:sz="4" w:space="0" w:color="auto"/>
              <w:bottom w:val="single" w:sz="4" w:space="0" w:color="auto"/>
            </w:tcBorders>
            <w:vAlign w:val="center"/>
          </w:tcPr>
          <w:p w14:paraId="67BF77F0" w14:textId="72FD9C4B" w:rsidR="006404E9" w:rsidRDefault="00B479C1" w:rsidP="006404E9">
            <w:pPr>
              <w:spacing w:after="0" w:line="240" w:lineRule="auto"/>
              <w:jc w:val="right"/>
              <w:rPr>
                <w:sz w:val="22"/>
              </w:rPr>
            </w:pPr>
            <w:r>
              <w:rPr>
                <w:sz w:val="22"/>
              </w:rPr>
              <w:t>100%</w:t>
            </w:r>
          </w:p>
        </w:tc>
        <w:tc>
          <w:tcPr>
            <w:tcW w:w="1320" w:type="dxa"/>
            <w:tcBorders>
              <w:top w:val="single" w:sz="4" w:space="0" w:color="auto"/>
              <w:bottom w:val="single" w:sz="4" w:space="0" w:color="auto"/>
            </w:tcBorders>
            <w:vAlign w:val="center"/>
          </w:tcPr>
          <w:p w14:paraId="376910E6" w14:textId="794694BA" w:rsidR="006404E9" w:rsidRPr="00005437" w:rsidRDefault="00B479C1" w:rsidP="006404E9">
            <w:pPr>
              <w:spacing w:after="0" w:line="240" w:lineRule="auto"/>
              <w:jc w:val="right"/>
              <w:rPr>
                <w:sz w:val="22"/>
              </w:rPr>
            </w:pPr>
            <w:r>
              <w:rPr>
                <w:sz w:val="22"/>
              </w:rPr>
              <w:t>100%</w:t>
            </w:r>
          </w:p>
        </w:tc>
      </w:tr>
    </w:tbl>
    <w:p w14:paraId="3C952846" w14:textId="77777777" w:rsidR="004C5BE7" w:rsidRDefault="004C5BE7" w:rsidP="002B69E1">
      <w:pPr>
        <w:spacing w:after="80" w:line="240" w:lineRule="auto"/>
        <w:rPr>
          <w:sz w:val="22"/>
        </w:rPr>
      </w:pPr>
    </w:p>
    <w:p w14:paraId="11392243" w14:textId="77777777" w:rsidR="004C5BE7" w:rsidRDefault="004C5BE7" w:rsidP="002B69E1">
      <w:pPr>
        <w:spacing w:after="80" w:line="240" w:lineRule="auto"/>
        <w:rPr>
          <w:sz w:val="22"/>
        </w:rPr>
      </w:pPr>
    </w:p>
    <w:p w14:paraId="0090AC82" w14:textId="77777777" w:rsidR="00CD6AF1" w:rsidRDefault="00CD6AF1" w:rsidP="002B69E1">
      <w:pPr>
        <w:spacing w:after="80" w:line="240" w:lineRule="auto"/>
        <w:rPr>
          <w:sz w:val="22"/>
        </w:rPr>
      </w:pPr>
    </w:p>
    <w:p w14:paraId="283183B1" w14:textId="77777777" w:rsidR="00CD6AF1" w:rsidRDefault="00CD6AF1" w:rsidP="002B69E1">
      <w:pPr>
        <w:spacing w:after="80" w:line="240" w:lineRule="auto"/>
        <w:rPr>
          <w:sz w:val="22"/>
        </w:rPr>
      </w:pPr>
    </w:p>
    <w:p w14:paraId="071D7002" w14:textId="77777777" w:rsidR="00CD6AF1" w:rsidRDefault="00CD6AF1" w:rsidP="002B69E1">
      <w:pPr>
        <w:spacing w:after="80" w:line="240" w:lineRule="auto"/>
        <w:rPr>
          <w:sz w:val="22"/>
        </w:rPr>
      </w:pPr>
    </w:p>
    <w:p w14:paraId="27B0DD01" w14:textId="54B38C62" w:rsidR="002B69E1" w:rsidRPr="0099031C" w:rsidRDefault="002B69E1" w:rsidP="00DC05F1">
      <w:pPr>
        <w:spacing w:before="240" w:after="80" w:line="240" w:lineRule="auto"/>
        <w:rPr>
          <w:sz w:val="22"/>
        </w:rPr>
      </w:pPr>
      <w:r>
        <w:rPr>
          <w:sz w:val="22"/>
        </w:rPr>
        <w:t>Half of the calls attempted were to landlines and half to cell numbers. The total number of calls completed to landlines was 696 (58%), and 504 completed to cell numbers (42%).</w:t>
      </w:r>
    </w:p>
    <w:p w14:paraId="28E1A680" w14:textId="13082C23" w:rsidR="00756946" w:rsidRPr="00A0341D" w:rsidRDefault="004C5BE7" w:rsidP="00756946">
      <w:pPr>
        <w:spacing w:after="80" w:line="240" w:lineRule="auto"/>
        <w:rPr>
          <w:b/>
          <w:sz w:val="22"/>
        </w:rPr>
      </w:pPr>
      <w:r>
        <w:rPr>
          <w:b/>
          <w:sz w:val="22"/>
        </w:rPr>
        <w:t>Women, o</w:t>
      </w:r>
      <w:r w:rsidR="00756946" w:rsidRPr="00A0341D">
        <w:rPr>
          <w:b/>
          <w:sz w:val="22"/>
        </w:rPr>
        <w:t>lder adults</w:t>
      </w:r>
      <w:r>
        <w:rPr>
          <w:b/>
          <w:sz w:val="22"/>
        </w:rPr>
        <w:t>, married adults, and adults with more formal education</w:t>
      </w:r>
      <w:r w:rsidR="00756946" w:rsidRPr="00A0341D">
        <w:rPr>
          <w:b/>
          <w:sz w:val="22"/>
        </w:rPr>
        <w:t xml:space="preserve"> are </w:t>
      </w:r>
      <w:r w:rsidR="00756946" w:rsidRPr="00CD6AF1">
        <w:rPr>
          <w:b/>
          <w:i/>
          <w:sz w:val="22"/>
        </w:rPr>
        <w:t>overrepresented</w:t>
      </w:r>
      <w:r w:rsidR="00756946" w:rsidRPr="00A0341D">
        <w:rPr>
          <w:b/>
          <w:sz w:val="22"/>
        </w:rPr>
        <w:t xml:space="preserve"> in the </w:t>
      </w:r>
      <w:r w:rsidR="00314DC5" w:rsidRPr="00A0341D">
        <w:rPr>
          <w:b/>
          <w:sz w:val="22"/>
        </w:rPr>
        <w:t>total</w:t>
      </w:r>
      <w:r w:rsidR="00756946" w:rsidRPr="00A0341D">
        <w:rPr>
          <w:b/>
          <w:sz w:val="22"/>
        </w:rPr>
        <w:t xml:space="preserve"> </w:t>
      </w:r>
      <w:r w:rsidR="00756946" w:rsidRPr="00A0341D">
        <w:rPr>
          <w:b/>
          <w:color w:val="4472C4" w:themeColor="accent5"/>
          <w:sz w:val="22"/>
        </w:rPr>
        <w:t>call sample</w:t>
      </w:r>
      <w:r w:rsidR="00756946" w:rsidRPr="00A0341D">
        <w:rPr>
          <w:b/>
          <w:sz w:val="22"/>
        </w:rPr>
        <w:t xml:space="preserve">, compared to the </w:t>
      </w:r>
      <w:r w:rsidR="00756946" w:rsidRPr="00A0341D">
        <w:rPr>
          <w:b/>
          <w:color w:val="ED7D31" w:themeColor="accent2"/>
          <w:sz w:val="22"/>
        </w:rPr>
        <w:t>population overall</w:t>
      </w:r>
      <w:r w:rsidR="00756946" w:rsidRPr="00A0341D">
        <w:rPr>
          <w:b/>
          <w:sz w:val="22"/>
        </w:rPr>
        <w:t>.</w:t>
      </w:r>
      <w:r>
        <w:rPr>
          <w:rStyle w:val="FootnoteReference"/>
          <w:b/>
          <w:sz w:val="22"/>
        </w:rPr>
        <w:footnoteReference w:id="2"/>
      </w:r>
      <w:r w:rsidR="00CD6AF1">
        <w:rPr>
          <w:b/>
          <w:sz w:val="22"/>
        </w:rPr>
        <w:t xml:space="preserve">  </w:t>
      </w:r>
    </w:p>
    <w:p w14:paraId="73BD3897" w14:textId="77777777" w:rsidR="00756946" w:rsidRPr="00A0341D" w:rsidRDefault="00756946" w:rsidP="00756946">
      <w:pPr>
        <w:spacing w:after="80" w:line="240" w:lineRule="auto"/>
        <w:rPr>
          <w:b/>
          <w:sz w:val="22"/>
        </w:rPr>
      </w:pPr>
      <w:r w:rsidRPr="00A0341D">
        <w:rPr>
          <w:b/>
          <w:noProof/>
          <w:sz w:val="22"/>
        </w:rPr>
        <w:drawing>
          <wp:inline distT="0" distB="0" distL="0" distR="0" wp14:anchorId="18F25BAB" wp14:editId="1CA4EA8B">
            <wp:extent cx="3200400" cy="20097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E875C4" w14:textId="77777777" w:rsidR="00CD6AF1" w:rsidRPr="004C5BE7" w:rsidRDefault="00CD6AF1" w:rsidP="00CD6AF1">
      <w:pPr>
        <w:spacing w:after="80" w:line="240" w:lineRule="auto"/>
        <w:rPr>
          <w:b/>
          <w:sz w:val="22"/>
        </w:rPr>
      </w:pPr>
      <w:r w:rsidRPr="004C5BE7">
        <w:rPr>
          <w:b/>
          <w:sz w:val="22"/>
        </w:rPr>
        <w:t xml:space="preserve">Adults who identified as Latino were </w:t>
      </w:r>
      <w:r w:rsidRPr="00CD6AF1">
        <w:rPr>
          <w:b/>
          <w:i/>
          <w:sz w:val="22"/>
        </w:rPr>
        <w:t>underrepresented</w:t>
      </w:r>
      <w:r w:rsidRPr="004C5BE7">
        <w:rPr>
          <w:b/>
          <w:sz w:val="22"/>
        </w:rPr>
        <w:t xml:space="preserve"> in the total </w:t>
      </w:r>
      <w:r w:rsidRPr="004C5BE7">
        <w:rPr>
          <w:b/>
          <w:color w:val="4472C4" w:themeColor="accent5"/>
          <w:sz w:val="22"/>
        </w:rPr>
        <w:t>call sample</w:t>
      </w:r>
      <w:r w:rsidRPr="004C5BE7">
        <w:rPr>
          <w:b/>
          <w:sz w:val="22"/>
        </w:rPr>
        <w:t xml:space="preserve">, compared to the </w:t>
      </w:r>
      <w:r w:rsidRPr="004C5BE7">
        <w:rPr>
          <w:b/>
          <w:color w:val="ED7D31" w:themeColor="accent2"/>
          <w:sz w:val="22"/>
        </w:rPr>
        <w:t>population overall</w:t>
      </w:r>
      <w:r w:rsidRPr="004C5BE7">
        <w:rPr>
          <w:b/>
          <w:sz w:val="22"/>
        </w:rPr>
        <w:t>.</w:t>
      </w:r>
    </w:p>
    <w:p w14:paraId="79168A1E" w14:textId="395FC011" w:rsidR="00DB5A59" w:rsidRDefault="004C5BE7" w:rsidP="00756946">
      <w:pPr>
        <w:spacing w:after="80" w:line="240" w:lineRule="auto"/>
        <w:rPr>
          <w:sz w:val="22"/>
        </w:rPr>
      </w:pPr>
      <w:r>
        <w:rPr>
          <w:sz w:val="22"/>
        </w:rPr>
        <w:t xml:space="preserve">One in five </w:t>
      </w:r>
      <w:r w:rsidRPr="005B2971">
        <w:rPr>
          <w:sz w:val="22"/>
        </w:rPr>
        <w:t>participants (</w:t>
      </w:r>
      <w:r w:rsidR="00A0341D" w:rsidRPr="005B2971">
        <w:rPr>
          <w:sz w:val="22"/>
        </w:rPr>
        <w:t>21</w:t>
      </w:r>
      <w:r w:rsidR="00756946" w:rsidRPr="005B2971">
        <w:rPr>
          <w:sz w:val="22"/>
        </w:rPr>
        <w:t>%</w:t>
      </w:r>
      <w:r w:rsidRPr="005B2971">
        <w:rPr>
          <w:sz w:val="22"/>
        </w:rPr>
        <w:t xml:space="preserve">) </w:t>
      </w:r>
      <w:r w:rsidR="00756946" w:rsidRPr="005B2971">
        <w:rPr>
          <w:sz w:val="22"/>
        </w:rPr>
        <w:t xml:space="preserve">participants reported that they are expecting a baby or are currently parenting a child under the age of 18. </w:t>
      </w:r>
      <w:proofErr w:type="gramStart"/>
      <w:r w:rsidR="00756946" w:rsidRPr="005B2971">
        <w:rPr>
          <w:sz w:val="22"/>
        </w:rPr>
        <w:t>And</w:t>
      </w:r>
      <w:proofErr w:type="gramEnd"/>
      <w:r w:rsidR="00756946" w:rsidRPr="005B2971">
        <w:rPr>
          <w:sz w:val="22"/>
        </w:rPr>
        <w:t xml:space="preserve"> </w:t>
      </w:r>
      <w:r w:rsidR="00DC7065" w:rsidRPr="005B2971">
        <w:rPr>
          <w:sz w:val="22"/>
        </w:rPr>
        <w:t>40</w:t>
      </w:r>
      <w:r w:rsidR="00756946" w:rsidRPr="005B2971">
        <w:rPr>
          <w:sz w:val="22"/>
        </w:rPr>
        <w:t>%</w:t>
      </w:r>
      <w:r w:rsidRPr="005B2971">
        <w:rPr>
          <w:sz w:val="22"/>
        </w:rPr>
        <w:t xml:space="preserve"> </w:t>
      </w:r>
      <w:r w:rsidR="00756946" w:rsidRPr="005B2971">
        <w:rPr>
          <w:sz w:val="22"/>
        </w:rPr>
        <w:t>of</w:t>
      </w:r>
      <w:r w:rsidR="00756946" w:rsidRPr="00A0341D">
        <w:rPr>
          <w:sz w:val="22"/>
        </w:rPr>
        <w:t xml:space="preserve"> these participants were parenting at least one child under the age of 5.</w:t>
      </w:r>
      <w:r w:rsidR="00DB5A59">
        <w:rPr>
          <w:sz w:val="22"/>
        </w:rPr>
        <w:t xml:space="preserve"> </w:t>
      </w:r>
    </w:p>
    <w:p w14:paraId="44605BF9" w14:textId="5DFF6DA6" w:rsidR="00756946" w:rsidRPr="008255F3" w:rsidRDefault="00CD6AF1" w:rsidP="00DC05F1">
      <w:pPr>
        <w:pStyle w:val="Heading2"/>
        <w:rPr>
          <w:rStyle w:val="Heading2Char"/>
          <w:rFonts w:ascii="Calibri" w:hAnsi="Calibri"/>
          <w:color w:val="4472C4" w:themeColor="accent5"/>
          <w:sz w:val="32"/>
          <w:lang w:val="en-US"/>
        </w:rPr>
      </w:pPr>
      <w:r>
        <w:rPr>
          <w:rStyle w:val="Heading2Char"/>
          <w:rFonts w:ascii="Calibri" w:hAnsi="Calibri"/>
          <w:color w:val="4472C4" w:themeColor="accent5"/>
          <w:sz w:val="32"/>
          <w:lang w:val="en-US"/>
        </w:rPr>
        <w:t>Defining “Home Visiting”</w:t>
      </w:r>
    </w:p>
    <w:p w14:paraId="3FB52690" w14:textId="55B00329" w:rsidR="00756946" w:rsidRDefault="00756946" w:rsidP="00756946">
      <w:pPr>
        <w:spacing w:after="80" w:line="240" w:lineRule="auto"/>
        <w:rPr>
          <w:sz w:val="22"/>
        </w:rPr>
      </w:pPr>
      <w:r>
        <w:rPr>
          <w:sz w:val="22"/>
        </w:rPr>
        <w:t>B</w:t>
      </w:r>
      <w:r w:rsidR="00CD6AF1">
        <w:rPr>
          <w:sz w:val="22"/>
        </w:rPr>
        <w:t>efore asking survey questions, the following</w:t>
      </w:r>
      <w:r>
        <w:rPr>
          <w:sz w:val="22"/>
        </w:rPr>
        <w:t xml:space="preserve"> definition of early childhood home visiting program</w:t>
      </w:r>
      <w:r w:rsidR="00CD6AF1">
        <w:rPr>
          <w:sz w:val="22"/>
        </w:rPr>
        <w:t xml:space="preserve">s </w:t>
      </w:r>
      <w:proofErr w:type="gramStart"/>
      <w:r w:rsidR="00CD6AF1">
        <w:rPr>
          <w:sz w:val="22"/>
        </w:rPr>
        <w:t>was provided</w:t>
      </w:r>
      <w:proofErr w:type="gramEnd"/>
      <w:r w:rsidR="00CD6AF1">
        <w:rPr>
          <w:sz w:val="22"/>
        </w:rPr>
        <w:t xml:space="preserve"> to participants:</w:t>
      </w:r>
    </w:p>
    <w:p w14:paraId="23954A9D" w14:textId="77777777" w:rsidR="00756946" w:rsidRDefault="00756946" w:rsidP="009F4162">
      <w:pPr>
        <w:spacing w:after="80" w:line="240" w:lineRule="auto"/>
        <w:ind w:left="288"/>
        <w:rPr>
          <w:i/>
          <w:sz w:val="22"/>
        </w:rPr>
      </w:pPr>
      <w:r w:rsidRPr="006A32CF">
        <w:rPr>
          <w:i/>
          <w:sz w:val="22"/>
        </w:rPr>
        <w:t xml:space="preserve">Voluntary, home-based family support programs called early childhood home visiting programs. Those that offer families voluntary visits from a provider like a nurse or parenting educator to assist them when expecting a child and up to the child’s fifth birthday. </w:t>
      </w:r>
    </w:p>
    <w:p w14:paraId="315C3CE2" w14:textId="77777777" w:rsidR="00756946" w:rsidRPr="006A32CF" w:rsidRDefault="00756946" w:rsidP="009F4162">
      <w:pPr>
        <w:spacing w:after="80" w:line="240" w:lineRule="auto"/>
        <w:ind w:left="288"/>
        <w:rPr>
          <w:i/>
          <w:sz w:val="22"/>
        </w:rPr>
      </w:pPr>
      <w:r w:rsidRPr="006A32CF">
        <w:rPr>
          <w:i/>
          <w:sz w:val="22"/>
        </w:rPr>
        <w:t xml:space="preserve">These programs </w:t>
      </w:r>
      <w:proofErr w:type="gramStart"/>
      <w:r w:rsidRPr="006A32CF">
        <w:rPr>
          <w:i/>
          <w:sz w:val="22"/>
        </w:rPr>
        <w:t>are offered</w:t>
      </w:r>
      <w:proofErr w:type="gramEnd"/>
      <w:r w:rsidRPr="006A32CF">
        <w:rPr>
          <w:i/>
          <w:sz w:val="22"/>
        </w:rPr>
        <w:t xml:space="preserve"> to families at no cost, and usually take place in families’ homes on a weekly to monthly basis over a period of one or more years. These are voluntary home-based programs for families to </w:t>
      </w:r>
      <w:proofErr w:type="gramStart"/>
      <w:r w:rsidRPr="006A32CF">
        <w:rPr>
          <w:i/>
          <w:sz w:val="22"/>
        </w:rPr>
        <w:t>partner</w:t>
      </w:r>
      <w:proofErr w:type="gramEnd"/>
      <w:r w:rsidRPr="006A32CF">
        <w:rPr>
          <w:i/>
          <w:sz w:val="22"/>
        </w:rPr>
        <w:t xml:space="preserve"> with them on child development and parenting.</w:t>
      </w:r>
    </w:p>
    <w:p w14:paraId="285B1002" w14:textId="1687D423" w:rsidR="00DC05F1" w:rsidRPr="008255F3" w:rsidRDefault="00DC05F1" w:rsidP="00DC05F1">
      <w:pPr>
        <w:pStyle w:val="Heading2"/>
        <w:rPr>
          <w:rStyle w:val="Heading2Char"/>
          <w:rFonts w:ascii="Calibri" w:hAnsi="Calibri"/>
          <w:color w:val="4472C4" w:themeColor="accent5"/>
          <w:sz w:val="32"/>
          <w:lang w:val="en-US"/>
        </w:rPr>
      </w:pPr>
      <w:r>
        <w:rPr>
          <w:rStyle w:val="Heading2Char"/>
          <w:rFonts w:ascii="Calibri" w:hAnsi="Calibri"/>
          <w:color w:val="4472C4" w:themeColor="accent5"/>
          <w:sz w:val="32"/>
          <w:lang w:val="en-US"/>
        </w:rPr>
        <w:t>Survey Results</w:t>
      </w:r>
    </w:p>
    <w:p w14:paraId="03C35780" w14:textId="12CA547A" w:rsidR="00756946" w:rsidRDefault="00756946" w:rsidP="00DC05F1">
      <w:pPr>
        <w:spacing w:before="240" w:after="80" w:line="240" w:lineRule="auto"/>
        <w:rPr>
          <w:b/>
          <w:sz w:val="22"/>
        </w:rPr>
      </w:pPr>
      <w:r>
        <w:rPr>
          <w:b/>
          <w:sz w:val="22"/>
        </w:rPr>
        <w:t xml:space="preserve">AWARENESS </w:t>
      </w:r>
      <w:r w:rsidR="00DC05F1">
        <w:rPr>
          <w:b/>
          <w:sz w:val="22"/>
        </w:rPr>
        <w:t xml:space="preserve">&amp; UTILIZATION </w:t>
      </w:r>
      <w:r>
        <w:rPr>
          <w:b/>
          <w:sz w:val="22"/>
        </w:rPr>
        <w:t>OF EARLY CHILDHOOD HOME VISITING PROGRAMS</w:t>
      </w:r>
    </w:p>
    <w:p w14:paraId="780079C0" w14:textId="3E760C0E" w:rsidR="00756946" w:rsidRPr="005B2971" w:rsidRDefault="00756946" w:rsidP="00756946">
      <w:pPr>
        <w:spacing w:after="80" w:line="240" w:lineRule="auto"/>
        <w:rPr>
          <w:sz w:val="22"/>
        </w:rPr>
      </w:pPr>
      <w:proofErr w:type="gramStart"/>
      <w:r w:rsidRPr="00057DB3">
        <w:rPr>
          <w:b/>
          <w:color w:val="0070C0"/>
          <w:sz w:val="22"/>
        </w:rPr>
        <w:t>1</w:t>
      </w:r>
      <w:proofErr w:type="gramEnd"/>
      <w:r w:rsidRPr="00057DB3">
        <w:rPr>
          <w:b/>
          <w:color w:val="0070C0"/>
          <w:sz w:val="22"/>
        </w:rPr>
        <w:t xml:space="preserve"> in 5</w:t>
      </w:r>
      <w:r w:rsidRPr="005B2971">
        <w:rPr>
          <w:color w:val="0070C0"/>
          <w:sz w:val="22"/>
        </w:rPr>
        <w:t xml:space="preserve"> </w:t>
      </w:r>
      <w:r w:rsidRPr="005B2971">
        <w:rPr>
          <w:sz w:val="22"/>
        </w:rPr>
        <w:t>participants</w:t>
      </w:r>
      <w:r w:rsidR="005B2971">
        <w:rPr>
          <w:sz w:val="22"/>
        </w:rPr>
        <w:t xml:space="preserve"> (20%)</w:t>
      </w:r>
      <w:r w:rsidRPr="005B2971">
        <w:rPr>
          <w:sz w:val="22"/>
        </w:rPr>
        <w:t xml:space="preserve"> reported knowing about early childhood home visiting programs in their community. </w:t>
      </w:r>
    </w:p>
    <w:p w14:paraId="3B7B155D" w14:textId="6604AC86" w:rsidR="00057DB3" w:rsidRPr="005B2971" w:rsidRDefault="00057DB3" w:rsidP="00057DB3">
      <w:pPr>
        <w:spacing w:after="80" w:line="240" w:lineRule="auto"/>
        <w:rPr>
          <w:sz w:val="22"/>
        </w:rPr>
      </w:pPr>
      <w:proofErr w:type="gramStart"/>
      <w:r>
        <w:rPr>
          <w:b/>
          <w:color w:val="0070C0"/>
          <w:sz w:val="22"/>
        </w:rPr>
        <w:t>1</w:t>
      </w:r>
      <w:proofErr w:type="gramEnd"/>
      <w:r>
        <w:rPr>
          <w:b/>
          <w:color w:val="0070C0"/>
          <w:sz w:val="22"/>
        </w:rPr>
        <w:t xml:space="preserve"> in 12</w:t>
      </w:r>
      <w:r w:rsidRPr="005B2971">
        <w:rPr>
          <w:color w:val="0070C0"/>
          <w:sz w:val="22"/>
        </w:rPr>
        <w:t xml:space="preserve"> </w:t>
      </w:r>
      <w:r w:rsidRPr="005B2971">
        <w:rPr>
          <w:sz w:val="22"/>
        </w:rPr>
        <w:t>participants</w:t>
      </w:r>
      <w:r>
        <w:rPr>
          <w:sz w:val="22"/>
        </w:rPr>
        <w:t xml:space="preserve"> (8</w:t>
      </w:r>
      <w:r>
        <w:rPr>
          <w:sz w:val="22"/>
        </w:rPr>
        <w:t>%)</w:t>
      </w:r>
      <w:r w:rsidRPr="005B2971">
        <w:rPr>
          <w:sz w:val="22"/>
        </w:rPr>
        <w:t xml:space="preserve"> reported </w:t>
      </w:r>
      <w:r>
        <w:rPr>
          <w:sz w:val="22"/>
        </w:rPr>
        <w:t>ever having a family support provider come to their home to provide information about child development or parenting</w:t>
      </w:r>
      <w:r w:rsidRPr="005B2971">
        <w:rPr>
          <w:sz w:val="22"/>
        </w:rPr>
        <w:t xml:space="preserve">. </w:t>
      </w:r>
    </w:p>
    <w:p w14:paraId="63EA9D74" w14:textId="58AA4C2E" w:rsidR="00756946" w:rsidRDefault="00756946" w:rsidP="00DC05F1">
      <w:pPr>
        <w:spacing w:before="240" w:after="80" w:line="240" w:lineRule="auto"/>
        <w:rPr>
          <w:b/>
          <w:sz w:val="22"/>
        </w:rPr>
      </w:pPr>
      <w:r>
        <w:rPr>
          <w:b/>
          <w:sz w:val="22"/>
        </w:rPr>
        <w:t>POTENTIAL BENEFITS OF HOME VISITING PROGRAMS</w:t>
      </w:r>
    </w:p>
    <w:p w14:paraId="3AA75BC2" w14:textId="2D074547" w:rsidR="00756946" w:rsidRDefault="00756946" w:rsidP="00756946">
      <w:pPr>
        <w:spacing w:after="80" w:line="240" w:lineRule="auto"/>
        <w:rPr>
          <w:b/>
          <w:sz w:val="22"/>
        </w:rPr>
      </w:pPr>
      <w:r w:rsidRPr="00C05BB0">
        <w:rPr>
          <w:b/>
          <w:sz w:val="22"/>
        </w:rPr>
        <w:t xml:space="preserve">More than </w:t>
      </w:r>
      <w:r w:rsidRPr="00C05BB0">
        <w:rPr>
          <w:b/>
          <w:color w:val="0070C0"/>
          <w:sz w:val="22"/>
        </w:rPr>
        <w:t xml:space="preserve">8 in 10 </w:t>
      </w:r>
      <w:r w:rsidRPr="00C05BB0">
        <w:rPr>
          <w:b/>
          <w:sz w:val="22"/>
        </w:rPr>
        <w:t>participants</w:t>
      </w:r>
      <w:r w:rsidRPr="006D3840">
        <w:rPr>
          <w:b/>
          <w:sz w:val="22"/>
        </w:rPr>
        <w:t xml:space="preserve"> agreed</w:t>
      </w:r>
      <w:r w:rsidRPr="00525ED9">
        <w:rPr>
          <w:b/>
          <w:sz w:val="22"/>
        </w:rPr>
        <w:t xml:space="preserve"> that parents could benefit from additional supports to promote effective parenting skills and child development.</w:t>
      </w:r>
    </w:p>
    <w:p w14:paraId="0AF98934" w14:textId="51340602" w:rsidR="00057DB3" w:rsidRPr="00057E49" w:rsidRDefault="00057DB3" w:rsidP="00756946">
      <w:pPr>
        <w:spacing w:after="80" w:line="240" w:lineRule="auto"/>
        <w:rPr>
          <w:b/>
          <w:sz w:val="22"/>
        </w:rPr>
      </w:pPr>
    </w:p>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700"/>
      </w:tblGrid>
      <w:tr w:rsidR="00B402CF" w:rsidRPr="008D7903" w14:paraId="17E898F0" w14:textId="77777777" w:rsidTr="001A00B0">
        <w:trPr>
          <w:trHeight w:val="80"/>
          <w:tblHeader/>
        </w:trPr>
        <w:tc>
          <w:tcPr>
            <w:tcW w:w="2340" w:type="dxa"/>
            <w:tcBorders>
              <w:top w:val="single" w:sz="4" w:space="0" w:color="auto"/>
              <w:bottom w:val="single" w:sz="4" w:space="0" w:color="auto"/>
            </w:tcBorders>
            <w:shd w:val="clear" w:color="auto" w:fill="D9D9D9" w:themeFill="background1" w:themeFillShade="D9"/>
            <w:vAlign w:val="bottom"/>
          </w:tcPr>
          <w:p w14:paraId="4177FB8A" w14:textId="77777777" w:rsidR="00B402CF" w:rsidRPr="008D7903" w:rsidRDefault="00B402CF" w:rsidP="0070291D">
            <w:pPr>
              <w:spacing w:after="80" w:line="240" w:lineRule="auto"/>
              <w:rPr>
                <w:b/>
                <w:sz w:val="20"/>
                <w:szCs w:val="20"/>
                <w:highlight w:val="yellow"/>
              </w:rPr>
            </w:pPr>
          </w:p>
        </w:tc>
        <w:tc>
          <w:tcPr>
            <w:tcW w:w="2700" w:type="dxa"/>
            <w:tcBorders>
              <w:top w:val="single" w:sz="4" w:space="0" w:color="auto"/>
              <w:bottom w:val="single" w:sz="4" w:space="0" w:color="auto"/>
            </w:tcBorders>
            <w:shd w:val="clear" w:color="auto" w:fill="D9D9D9" w:themeFill="background1" w:themeFillShade="D9"/>
            <w:vAlign w:val="center"/>
          </w:tcPr>
          <w:p w14:paraId="53845CCA" w14:textId="0D11F27D" w:rsidR="00B402CF" w:rsidRPr="00525ED9" w:rsidRDefault="00B402CF" w:rsidP="0070291D">
            <w:pPr>
              <w:spacing w:after="0" w:line="240" w:lineRule="auto"/>
              <w:jc w:val="center"/>
              <w:rPr>
                <w:b/>
                <w:sz w:val="20"/>
                <w:szCs w:val="20"/>
              </w:rPr>
            </w:pPr>
            <w:r>
              <w:rPr>
                <w:b/>
                <w:sz w:val="20"/>
                <w:szCs w:val="20"/>
              </w:rPr>
              <w:t xml:space="preserve">% </w:t>
            </w:r>
            <w:r w:rsidRPr="00525ED9">
              <w:rPr>
                <w:b/>
                <w:sz w:val="20"/>
                <w:szCs w:val="20"/>
              </w:rPr>
              <w:t>Agree</w:t>
            </w:r>
          </w:p>
        </w:tc>
      </w:tr>
      <w:tr w:rsidR="00B402CF" w:rsidRPr="008D7903" w14:paraId="7E66E7C0" w14:textId="77777777" w:rsidTr="00B402CF">
        <w:trPr>
          <w:trHeight w:val="872"/>
        </w:trPr>
        <w:tc>
          <w:tcPr>
            <w:tcW w:w="2340" w:type="dxa"/>
            <w:tcBorders>
              <w:top w:val="single" w:sz="4" w:space="0" w:color="auto"/>
              <w:bottom w:val="single" w:sz="4" w:space="0" w:color="auto"/>
            </w:tcBorders>
            <w:shd w:val="clear" w:color="auto" w:fill="auto"/>
            <w:vAlign w:val="center"/>
          </w:tcPr>
          <w:p w14:paraId="6F156C44" w14:textId="7A951EE0" w:rsidR="00B402CF" w:rsidRPr="00C05BB0" w:rsidRDefault="00B402CF" w:rsidP="0070291D">
            <w:pPr>
              <w:spacing w:after="80" w:line="240" w:lineRule="auto"/>
              <w:rPr>
                <w:sz w:val="20"/>
                <w:szCs w:val="20"/>
              </w:rPr>
            </w:pPr>
            <w:r w:rsidRPr="00C05BB0">
              <w:rPr>
                <w:sz w:val="20"/>
                <w:szCs w:val="20"/>
              </w:rPr>
              <w:t>Many parents could use support learning about how to support children’s healthy development.</w:t>
            </w:r>
          </w:p>
        </w:tc>
        <w:tc>
          <w:tcPr>
            <w:tcW w:w="2700" w:type="dxa"/>
            <w:tcBorders>
              <w:top w:val="single" w:sz="4" w:space="0" w:color="auto"/>
              <w:bottom w:val="single" w:sz="4" w:space="0" w:color="auto"/>
            </w:tcBorders>
            <w:vAlign w:val="center"/>
          </w:tcPr>
          <w:p w14:paraId="23E76052" w14:textId="1B328510" w:rsidR="00B402CF" w:rsidRDefault="00B402CF" w:rsidP="0070291D">
            <w:pPr>
              <w:spacing w:after="80" w:line="240" w:lineRule="auto"/>
              <w:jc w:val="center"/>
              <w:rPr>
                <w:noProof/>
                <w:sz w:val="20"/>
                <w:szCs w:val="20"/>
              </w:rPr>
            </w:pPr>
            <w:r>
              <w:rPr>
                <w:noProof/>
                <w:sz w:val="20"/>
                <w:szCs w:val="20"/>
              </w:rPr>
              <w:drawing>
                <wp:inline distT="0" distB="0" distL="0" distR="0" wp14:anchorId="7C277154" wp14:editId="3290D3D6">
                  <wp:extent cx="1704975" cy="6477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402CF" w:rsidRPr="008D7903" w14:paraId="07D6F8D7" w14:textId="77777777" w:rsidTr="005C005D">
        <w:trPr>
          <w:trHeight w:val="962"/>
        </w:trPr>
        <w:tc>
          <w:tcPr>
            <w:tcW w:w="2340" w:type="dxa"/>
            <w:tcBorders>
              <w:top w:val="single" w:sz="4" w:space="0" w:color="auto"/>
              <w:bottom w:val="single" w:sz="4" w:space="0" w:color="auto"/>
            </w:tcBorders>
            <w:shd w:val="clear" w:color="auto" w:fill="auto"/>
            <w:vAlign w:val="center"/>
          </w:tcPr>
          <w:p w14:paraId="2A8A6D39" w14:textId="77777777" w:rsidR="00B402CF" w:rsidRPr="00E30A98" w:rsidRDefault="00B402CF" w:rsidP="005C005D">
            <w:pPr>
              <w:spacing w:after="80" w:line="240" w:lineRule="auto"/>
              <w:rPr>
                <w:sz w:val="20"/>
                <w:szCs w:val="20"/>
                <w:highlight w:val="yellow"/>
              </w:rPr>
            </w:pPr>
            <w:r w:rsidRPr="00C05BB0">
              <w:rPr>
                <w:sz w:val="20"/>
                <w:szCs w:val="20"/>
              </w:rPr>
              <w:t>Many parents could use support around how to use effective parenting skills.</w:t>
            </w:r>
          </w:p>
        </w:tc>
        <w:tc>
          <w:tcPr>
            <w:tcW w:w="2700" w:type="dxa"/>
            <w:tcBorders>
              <w:top w:val="single" w:sz="4" w:space="0" w:color="auto"/>
              <w:bottom w:val="single" w:sz="4" w:space="0" w:color="auto"/>
            </w:tcBorders>
            <w:vAlign w:val="center"/>
          </w:tcPr>
          <w:p w14:paraId="1B8CE918" w14:textId="77777777" w:rsidR="00B402CF" w:rsidRDefault="00B402CF" w:rsidP="005C005D">
            <w:pPr>
              <w:spacing w:after="80" w:line="240" w:lineRule="auto"/>
              <w:jc w:val="center"/>
              <w:rPr>
                <w:noProof/>
                <w:sz w:val="20"/>
                <w:szCs w:val="20"/>
              </w:rPr>
            </w:pPr>
            <w:r>
              <w:rPr>
                <w:noProof/>
                <w:sz w:val="20"/>
                <w:szCs w:val="20"/>
              </w:rPr>
              <w:drawing>
                <wp:inline distT="0" distB="0" distL="0" distR="0" wp14:anchorId="5D150FA5" wp14:editId="0C0607FC">
                  <wp:extent cx="1704975" cy="6477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56946" w:rsidRPr="008D7903" w14:paraId="2F194D14" w14:textId="77777777" w:rsidTr="00B402CF">
        <w:trPr>
          <w:trHeight w:val="755"/>
        </w:trPr>
        <w:tc>
          <w:tcPr>
            <w:tcW w:w="2340" w:type="dxa"/>
            <w:tcBorders>
              <w:top w:val="single" w:sz="4" w:space="0" w:color="auto"/>
              <w:bottom w:val="single" w:sz="4" w:space="0" w:color="auto"/>
            </w:tcBorders>
            <w:shd w:val="clear" w:color="auto" w:fill="auto"/>
            <w:vAlign w:val="center"/>
          </w:tcPr>
          <w:p w14:paraId="4DCBDBC2" w14:textId="77777777" w:rsidR="00756946" w:rsidRPr="00E30A98" w:rsidRDefault="00756946" w:rsidP="0070291D">
            <w:pPr>
              <w:spacing w:after="80" w:line="240" w:lineRule="auto"/>
              <w:rPr>
                <w:sz w:val="20"/>
                <w:szCs w:val="20"/>
                <w:highlight w:val="yellow"/>
              </w:rPr>
            </w:pPr>
            <w:r w:rsidRPr="00C05BB0">
              <w:rPr>
                <w:sz w:val="20"/>
                <w:szCs w:val="20"/>
              </w:rPr>
              <w:t>Voluntary parenting education would be a useful service for families in my community.</w:t>
            </w:r>
          </w:p>
        </w:tc>
        <w:tc>
          <w:tcPr>
            <w:tcW w:w="2700" w:type="dxa"/>
            <w:tcBorders>
              <w:top w:val="single" w:sz="4" w:space="0" w:color="auto"/>
              <w:bottom w:val="single" w:sz="4" w:space="0" w:color="auto"/>
            </w:tcBorders>
            <w:vAlign w:val="center"/>
          </w:tcPr>
          <w:p w14:paraId="20BA88A8" w14:textId="2CE9C6D4" w:rsidR="00756946" w:rsidRDefault="00B402CF" w:rsidP="0070291D">
            <w:pPr>
              <w:spacing w:after="80" w:line="240" w:lineRule="auto"/>
              <w:jc w:val="center"/>
              <w:rPr>
                <w:noProof/>
                <w:sz w:val="20"/>
                <w:szCs w:val="20"/>
              </w:rPr>
            </w:pPr>
            <w:r>
              <w:rPr>
                <w:noProof/>
                <w:sz w:val="20"/>
                <w:szCs w:val="20"/>
              </w:rPr>
              <w:drawing>
                <wp:inline distT="0" distB="0" distL="0" distR="0" wp14:anchorId="1F7D7C00" wp14:editId="3342F36A">
                  <wp:extent cx="1704975" cy="6477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44055BD" w14:textId="3218EBB3" w:rsidR="00756946" w:rsidRPr="00C15B92" w:rsidRDefault="00756946" w:rsidP="00DC05F1">
      <w:pPr>
        <w:spacing w:before="240" w:after="80" w:line="240" w:lineRule="auto"/>
        <w:rPr>
          <w:b/>
          <w:sz w:val="22"/>
        </w:rPr>
      </w:pPr>
      <w:r w:rsidRPr="005051F8">
        <w:rPr>
          <w:b/>
          <w:sz w:val="22"/>
        </w:rPr>
        <w:t>CONNECTING WITH ADDITIONAL FAMILY SUPPORTS</w:t>
      </w:r>
    </w:p>
    <w:p w14:paraId="23260556" w14:textId="1EB6E281" w:rsidR="00756946" w:rsidRDefault="00B402CF" w:rsidP="00756946">
      <w:pPr>
        <w:spacing w:after="80" w:line="240" w:lineRule="auto"/>
        <w:rPr>
          <w:sz w:val="22"/>
        </w:rPr>
      </w:pPr>
      <w:r w:rsidRPr="00B402CF">
        <w:rPr>
          <w:sz w:val="22"/>
        </w:rPr>
        <w:t xml:space="preserve">About </w:t>
      </w:r>
      <w:r w:rsidRPr="00B402CF">
        <w:rPr>
          <w:b/>
          <w:color w:val="4472C4" w:themeColor="accent5"/>
          <w:sz w:val="22"/>
        </w:rPr>
        <w:t>1 in 3</w:t>
      </w:r>
      <w:r w:rsidRPr="00B402CF">
        <w:rPr>
          <w:color w:val="4472C4" w:themeColor="accent5"/>
          <w:sz w:val="22"/>
        </w:rPr>
        <w:t xml:space="preserve"> </w:t>
      </w:r>
      <w:r w:rsidRPr="00B402CF">
        <w:rPr>
          <w:sz w:val="22"/>
        </w:rPr>
        <w:t xml:space="preserve">participants (36%) said they would know where to go to learn more if they or someone they knew wanted to find out more about the types of early childhood supports available in their community. </w:t>
      </w:r>
      <w:r>
        <w:rPr>
          <w:sz w:val="22"/>
        </w:rPr>
        <w:t xml:space="preserve"> Of these 431 participants:</w:t>
      </w:r>
    </w:p>
    <w:p w14:paraId="691C3B4A" w14:textId="2331729D" w:rsidR="00B402CF" w:rsidRPr="00B402CF" w:rsidRDefault="00B402CF" w:rsidP="00B402CF">
      <w:pPr>
        <w:pStyle w:val="ListParagraph"/>
        <w:numPr>
          <w:ilvl w:val="0"/>
          <w:numId w:val="28"/>
        </w:numPr>
        <w:spacing w:after="80"/>
      </w:pPr>
      <w:r w:rsidRPr="00B402CF">
        <w:rPr>
          <w:b/>
          <w:color w:val="4472C4" w:themeColor="accent5"/>
        </w:rPr>
        <w:t>89%</w:t>
      </w:r>
      <w:r w:rsidRPr="00B402CF">
        <w:rPr>
          <w:color w:val="4472C4" w:themeColor="accent5"/>
        </w:rPr>
        <w:t xml:space="preserve"> </w:t>
      </w:r>
      <w:r w:rsidRPr="00B402CF">
        <w:t>would ask someone they know within a community agency</w:t>
      </w:r>
    </w:p>
    <w:p w14:paraId="3B06A603" w14:textId="6CB33913" w:rsidR="00B402CF" w:rsidRPr="00B402CF" w:rsidRDefault="00B402CF" w:rsidP="00B402CF">
      <w:pPr>
        <w:pStyle w:val="ListParagraph"/>
        <w:numPr>
          <w:ilvl w:val="0"/>
          <w:numId w:val="28"/>
        </w:numPr>
        <w:spacing w:after="80"/>
      </w:pPr>
      <w:r w:rsidRPr="00B402CF">
        <w:rPr>
          <w:b/>
          <w:color w:val="4472C4" w:themeColor="accent5"/>
        </w:rPr>
        <w:t>85%</w:t>
      </w:r>
      <w:r w:rsidRPr="00B402CF">
        <w:t xml:space="preserve"> would talk to a family member or a friend</w:t>
      </w:r>
    </w:p>
    <w:p w14:paraId="32A177C7" w14:textId="1CB85E54" w:rsidR="00B402CF" w:rsidRPr="00B402CF" w:rsidRDefault="00B402CF" w:rsidP="00B402CF">
      <w:pPr>
        <w:pStyle w:val="ListParagraph"/>
        <w:numPr>
          <w:ilvl w:val="0"/>
          <w:numId w:val="28"/>
        </w:numPr>
        <w:spacing w:after="80"/>
      </w:pPr>
      <w:r>
        <w:rPr>
          <w:b/>
          <w:color w:val="4472C4" w:themeColor="accent5"/>
        </w:rPr>
        <w:t>80</w:t>
      </w:r>
      <w:r w:rsidRPr="00B402CF">
        <w:rPr>
          <w:b/>
          <w:color w:val="4472C4" w:themeColor="accent5"/>
        </w:rPr>
        <w:t>%</w:t>
      </w:r>
      <w:r w:rsidRPr="00B402CF">
        <w:t xml:space="preserve"> would do an online search</w:t>
      </w:r>
    </w:p>
    <w:p w14:paraId="35281CF8" w14:textId="5E64EC34" w:rsidR="00B402CF" w:rsidRPr="00B402CF" w:rsidRDefault="00B402CF" w:rsidP="00B402CF">
      <w:pPr>
        <w:pStyle w:val="ListParagraph"/>
        <w:numPr>
          <w:ilvl w:val="0"/>
          <w:numId w:val="28"/>
        </w:numPr>
        <w:spacing w:after="80"/>
      </w:pPr>
      <w:r w:rsidRPr="00B402CF">
        <w:rPr>
          <w:b/>
          <w:color w:val="4472C4" w:themeColor="accent5"/>
        </w:rPr>
        <w:t>54%</w:t>
      </w:r>
      <w:r w:rsidRPr="00B402CF">
        <w:t xml:space="preserve"> would look in a local publication like a community newspaper or magazine</w:t>
      </w:r>
    </w:p>
    <w:p w14:paraId="60C67050" w14:textId="039CB8E5" w:rsidR="00B402CF" w:rsidRPr="00B402CF" w:rsidRDefault="00B402CF" w:rsidP="00B402CF">
      <w:pPr>
        <w:pStyle w:val="ListParagraph"/>
        <w:numPr>
          <w:ilvl w:val="0"/>
          <w:numId w:val="28"/>
        </w:numPr>
        <w:spacing w:after="80"/>
      </w:pPr>
      <w:r w:rsidRPr="00B402CF">
        <w:rPr>
          <w:b/>
          <w:color w:val="4472C4" w:themeColor="accent5"/>
        </w:rPr>
        <w:t>51%</w:t>
      </w:r>
      <w:r w:rsidRPr="00B402CF">
        <w:t xml:space="preserve"> would look on social media</w:t>
      </w:r>
    </w:p>
    <w:p w14:paraId="2E6DE68F" w14:textId="2979A8DF" w:rsidR="00B402CF" w:rsidRPr="00B402CF" w:rsidRDefault="00B402CF" w:rsidP="00B402CF">
      <w:pPr>
        <w:pStyle w:val="ListParagraph"/>
        <w:numPr>
          <w:ilvl w:val="0"/>
          <w:numId w:val="28"/>
        </w:numPr>
        <w:spacing w:after="80"/>
      </w:pPr>
      <w:r w:rsidRPr="00B402CF">
        <w:rPr>
          <w:b/>
          <w:color w:val="4472C4" w:themeColor="accent5"/>
        </w:rPr>
        <w:t>19%</w:t>
      </w:r>
      <w:r w:rsidRPr="00B402CF">
        <w:t xml:space="preserve"> would use 211info</w:t>
      </w:r>
    </w:p>
    <w:p w14:paraId="33540084" w14:textId="7B655501" w:rsidR="00756946" w:rsidRPr="005B2971" w:rsidRDefault="00756946" w:rsidP="00DC05F1">
      <w:pPr>
        <w:spacing w:before="240" w:after="80" w:line="240" w:lineRule="auto"/>
        <w:rPr>
          <w:b/>
          <w:sz w:val="22"/>
        </w:rPr>
      </w:pPr>
      <w:r w:rsidRPr="005B2971">
        <w:rPr>
          <w:b/>
          <w:sz w:val="22"/>
        </w:rPr>
        <w:t>POTENTIAL BARRIERS TO PARTICIPATING IN HOME VISITING PROGRAMS</w:t>
      </w:r>
    </w:p>
    <w:p w14:paraId="38A4A863" w14:textId="5776EBEB" w:rsidR="00756946" w:rsidRPr="00DC05F1" w:rsidRDefault="00756946" w:rsidP="00756946">
      <w:pPr>
        <w:spacing w:after="80" w:line="240" w:lineRule="auto"/>
        <w:rPr>
          <w:sz w:val="22"/>
        </w:rPr>
      </w:pPr>
      <w:r w:rsidRPr="00DC05F1">
        <w:rPr>
          <w:sz w:val="22"/>
        </w:rPr>
        <w:t xml:space="preserve">Participants reported they would be </w:t>
      </w:r>
      <w:r w:rsidRPr="00DC05F1">
        <w:rPr>
          <w:color w:val="4472C4" w:themeColor="accent5"/>
          <w:sz w:val="22"/>
        </w:rPr>
        <w:t xml:space="preserve">less likely </w:t>
      </w:r>
      <w:r w:rsidRPr="00DC05F1">
        <w:rPr>
          <w:sz w:val="22"/>
        </w:rPr>
        <w:t xml:space="preserve">to participate in early childhood home visiting programs if they had enough support, felt </w:t>
      </w:r>
      <w:r w:rsidR="006864DC" w:rsidRPr="00DC05F1">
        <w:rPr>
          <w:sz w:val="22"/>
        </w:rPr>
        <w:t xml:space="preserve">too busy or felt </w:t>
      </w:r>
      <w:r w:rsidRPr="00DC05F1">
        <w:rPr>
          <w:sz w:val="22"/>
        </w:rPr>
        <w:t>judged, or felt uncomfortable with a provider coming to their home.</w:t>
      </w:r>
    </w:p>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900"/>
        <w:gridCol w:w="900"/>
        <w:gridCol w:w="900"/>
      </w:tblGrid>
      <w:tr w:rsidR="00756946" w:rsidRPr="008D7903" w14:paraId="1AB7D1B5" w14:textId="77777777" w:rsidTr="005279F4">
        <w:trPr>
          <w:trHeight w:val="80"/>
          <w:tblHeader/>
        </w:trPr>
        <w:tc>
          <w:tcPr>
            <w:tcW w:w="2340" w:type="dxa"/>
            <w:tcBorders>
              <w:top w:val="single" w:sz="4" w:space="0" w:color="auto"/>
              <w:bottom w:val="single" w:sz="4" w:space="0" w:color="auto"/>
            </w:tcBorders>
            <w:shd w:val="clear" w:color="auto" w:fill="D9D9D9" w:themeFill="background1" w:themeFillShade="D9"/>
            <w:vAlign w:val="bottom"/>
          </w:tcPr>
          <w:p w14:paraId="1FDCAF0A" w14:textId="77777777" w:rsidR="00756946" w:rsidRPr="008D7903" w:rsidRDefault="00756946" w:rsidP="0070291D">
            <w:pPr>
              <w:spacing w:after="80" w:line="240" w:lineRule="auto"/>
              <w:rPr>
                <w:b/>
                <w:sz w:val="20"/>
                <w:szCs w:val="20"/>
                <w:highlight w:val="yellow"/>
              </w:rPr>
            </w:pPr>
          </w:p>
        </w:tc>
        <w:tc>
          <w:tcPr>
            <w:tcW w:w="900" w:type="dxa"/>
            <w:tcBorders>
              <w:top w:val="single" w:sz="4" w:space="0" w:color="auto"/>
              <w:bottom w:val="single" w:sz="4" w:space="0" w:color="auto"/>
            </w:tcBorders>
            <w:shd w:val="clear" w:color="auto" w:fill="D9D9D9" w:themeFill="background1" w:themeFillShade="D9"/>
            <w:vAlign w:val="center"/>
          </w:tcPr>
          <w:p w14:paraId="7033DAA3" w14:textId="77777777" w:rsidR="00756946" w:rsidRPr="00525ED9" w:rsidRDefault="00756946" w:rsidP="0070291D">
            <w:pPr>
              <w:spacing w:after="0" w:line="240" w:lineRule="auto"/>
              <w:jc w:val="center"/>
              <w:rPr>
                <w:b/>
                <w:sz w:val="20"/>
                <w:szCs w:val="20"/>
              </w:rPr>
            </w:pPr>
            <w:r>
              <w:rPr>
                <w:b/>
                <w:sz w:val="20"/>
                <w:szCs w:val="20"/>
              </w:rPr>
              <w:t>Not a Reason</w:t>
            </w:r>
          </w:p>
        </w:tc>
        <w:tc>
          <w:tcPr>
            <w:tcW w:w="900" w:type="dxa"/>
            <w:tcBorders>
              <w:top w:val="single" w:sz="4" w:space="0" w:color="auto"/>
              <w:bottom w:val="single" w:sz="4" w:space="0" w:color="auto"/>
            </w:tcBorders>
            <w:shd w:val="clear" w:color="auto" w:fill="D9D9D9" w:themeFill="background1" w:themeFillShade="D9"/>
            <w:vAlign w:val="center"/>
          </w:tcPr>
          <w:p w14:paraId="10578E69" w14:textId="77777777" w:rsidR="00756946" w:rsidRPr="00525ED9" w:rsidRDefault="00756946" w:rsidP="0070291D">
            <w:pPr>
              <w:spacing w:after="0" w:line="240" w:lineRule="auto"/>
              <w:jc w:val="center"/>
              <w:rPr>
                <w:b/>
                <w:sz w:val="20"/>
                <w:szCs w:val="20"/>
              </w:rPr>
            </w:pPr>
            <w:r>
              <w:rPr>
                <w:b/>
                <w:sz w:val="20"/>
                <w:szCs w:val="20"/>
              </w:rPr>
              <w:t>Small Reason</w:t>
            </w:r>
          </w:p>
        </w:tc>
        <w:tc>
          <w:tcPr>
            <w:tcW w:w="900" w:type="dxa"/>
            <w:tcBorders>
              <w:top w:val="single" w:sz="4" w:space="0" w:color="auto"/>
              <w:bottom w:val="single" w:sz="4" w:space="0" w:color="auto"/>
            </w:tcBorders>
            <w:shd w:val="clear" w:color="auto" w:fill="D9D9D9" w:themeFill="background1" w:themeFillShade="D9"/>
            <w:vAlign w:val="center"/>
          </w:tcPr>
          <w:p w14:paraId="09FF1AE7" w14:textId="77777777" w:rsidR="00756946" w:rsidRPr="00525ED9" w:rsidRDefault="00756946" w:rsidP="0070291D">
            <w:pPr>
              <w:spacing w:after="0" w:line="240" w:lineRule="auto"/>
              <w:jc w:val="center"/>
              <w:rPr>
                <w:b/>
                <w:sz w:val="20"/>
                <w:szCs w:val="20"/>
              </w:rPr>
            </w:pPr>
            <w:r>
              <w:rPr>
                <w:b/>
                <w:sz w:val="20"/>
                <w:szCs w:val="20"/>
              </w:rPr>
              <w:t>Big Reason</w:t>
            </w:r>
          </w:p>
        </w:tc>
      </w:tr>
      <w:tr w:rsidR="00756946" w:rsidRPr="008D7903" w14:paraId="2A99CB4E" w14:textId="77777777" w:rsidTr="00DC05F1">
        <w:trPr>
          <w:trHeight w:val="576"/>
        </w:trPr>
        <w:tc>
          <w:tcPr>
            <w:tcW w:w="2340" w:type="dxa"/>
            <w:tcBorders>
              <w:top w:val="single" w:sz="4" w:space="0" w:color="auto"/>
              <w:bottom w:val="single" w:sz="4" w:space="0" w:color="auto"/>
            </w:tcBorders>
            <w:shd w:val="clear" w:color="auto" w:fill="auto"/>
            <w:vAlign w:val="center"/>
          </w:tcPr>
          <w:p w14:paraId="18F4D2AA" w14:textId="77777777" w:rsidR="00756946" w:rsidRPr="00E30A98" w:rsidRDefault="00756946" w:rsidP="0070291D">
            <w:pPr>
              <w:spacing w:after="80" w:line="240" w:lineRule="auto"/>
              <w:rPr>
                <w:sz w:val="20"/>
                <w:szCs w:val="20"/>
                <w:highlight w:val="yellow"/>
              </w:rPr>
            </w:pPr>
            <w:r w:rsidRPr="00C05BB0">
              <w:rPr>
                <w:sz w:val="20"/>
                <w:szCs w:val="20"/>
              </w:rPr>
              <w:t>I would feel uncomfortable with a family support provider coming to my house.</w:t>
            </w:r>
          </w:p>
        </w:tc>
        <w:tc>
          <w:tcPr>
            <w:tcW w:w="2700" w:type="dxa"/>
            <w:gridSpan w:val="3"/>
            <w:tcBorders>
              <w:top w:val="single" w:sz="4" w:space="0" w:color="auto"/>
              <w:bottom w:val="single" w:sz="4" w:space="0" w:color="auto"/>
            </w:tcBorders>
            <w:vAlign w:val="center"/>
          </w:tcPr>
          <w:p w14:paraId="0342894C" w14:textId="77777777" w:rsidR="00756946" w:rsidRPr="008D7903" w:rsidRDefault="00756946" w:rsidP="0070291D">
            <w:pPr>
              <w:spacing w:after="80" w:line="240" w:lineRule="auto"/>
              <w:jc w:val="center"/>
              <w:rPr>
                <w:sz w:val="20"/>
                <w:szCs w:val="20"/>
                <w:highlight w:val="yellow"/>
              </w:rPr>
            </w:pPr>
            <w:r>
              <w:rPr>
                <w:noProof/>
                <w:sz w:val="20"/>
                <w:szCs w:val="20"/>
              </w:rPr>
              <w:drawing>
                <wp:inline distT="0" distB="0" distL="0" distR="0" wp14:anchorId="7250129D" wp14:editId="602EADE2">
                  <wp:extent cx="1577340" cy="781050"/>
                  <wp:effectExtent l="0" t="0" r="381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56946" w:rsidRPr="008D7903" w14:paraId="6DEE02E8" w14:textId="77777777" w:rsidTr="00DC05F1">
        <w:trPr>
          <w:trHeight w:val="576"/>
        </w:trPr>
        <w:tc>
          <w:tcPr>
            <w:tcW w:w="2340" w:type="dxa"/>
            <w:tcBorders>
              <w:top w:val="single" w:sz="4" w:space="0" w:color="auto"/>
              <w:bottom w:val="single" w:sz="4" w:space="0" w:color="auto"/>
            </w:tcBorders>
            <w:shd w:val="clear" w:color="auto" w:fill="auto"/>
            <w:vAlign w:val="center"/>
          </w:tcPr>
          <w:p w14:paraId="691926A2" w14:textId="77777777" w:rsidR="00756946" w:rsidRPr="00E30A98" w:rsidRDefault="00756946" w:rsidP="0070291D">
            <w:pPr>
              <w:spacing w:after="80" w:line="240" w:lineRule="auto"/>
              <w:rPr>
                <w:sz w:val="20"/>
                <w:szCs w:val="20"/>
                <w:highlight w:val="yellow"/>
              </w:rPr>
            </w:pPr>
            <w:r w:rsidRPr="00C05BB0">
              <w:rPr>
                <w:sz w:val="20"/>
                <w:szCs w:val="20"/>
              </w:rPr>
              <w:t>I would feel negatively judged.</w:t>
            </w:r>
          </w:p>
        </w:tc>
        <w:tc>
          <w:tcPr>
            <w:tcW w:w="2700" w:type="dxa"/>
            <w:gridSpan w:val="3"/>
            <w:tcBorders>
              <w:top w:val="single" w:sz="4" w:space="0" w:color="auto"/>
              <w:bottom w:val="single" w:sz="4" w:space="0" w:color="auto"/>
            </w:tcBorders>
            <w:vAlign w:val="center"/>
          </w:tcPr>
          <w:p w14:paraId="04EC07A5" w14:textId="77777777" w:rsidR="00756946" w:rsidRDefault="00756946" w:rsidP="0070291D">
            <w:pPr>
              <w:spacing w:after="80" w:line="240" w:lineRule="auto"/>
              <w:jc w:val="center"/>
              <w:rPr>
                <w:noProof/>
                <w:sz w:val="20"/>
                <w:szCs w:val="20"/>
              </w:rPr>
            </w:pPr>
            <w:r>
              <w:rPr>
                <w:noProof/>
                <w:sz w:val="20"/>
                <w:szCs w:val="20"/>
              </w:rPr>
              <w:drawing>
                <wp:inline distT="0" distB="0" distL="0" distR="0" wp14:anchorId="2D8A99FC" wp14:editId="015FBC79">
                  <wp:extent cx="1577340" cy="771525"/>
                  <wp:effectExtent l="0" t="0" r="381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56946" w:rsidRPr="008D7903" w14:paraId="77D949D1" w14:textId="77777777" w:rsidTr="00DC05F1">
        <w:trPr>
          <w:trHeight w:val="1008"/>
        </w:trPr>
        <w:tc>
          <w:tcPr>
            <w:tcW w:w="2340" w:type="dxa"/>
            <w:tcBorders>
              <w:top w:val="single" w:sz="4" w:space="0" w:color="auto"/>
              <w:bottom w:val="single" w:sz="4" w:space="0" w:color="auto"/>
            </w:tcBorders>
            <w:shd w:val="clear" w:color="auto" w:fill="auto"/>
            <w:vAlign w:val="center"/>
          </w:tcPr>
          <w:p w14:paraId="5EF26070" w14:textId="77777777" w:rsidR="00756946" w:rsidRPr="00E30A98" w:rsidRDefault="00756946" w:rsidP="0070291D">
            <w:pPr>
              <w:spacing w:after="80" w:line="240" w:lineRule="auto"/>
              <w:rPr>
                <w:sz w:val="20"/>
                <w:szCs w:val="20"/>
                <w:highlight w:val="yellow"/>
              </w:rPr>
            </w:pPr>
            <w:r w:rsidRPr="00C05BB0">
              <w:rPr>
                <w:sz w:val="20"/>
                <w:szCs w:val="20"/>
              </w:rPr>
              <w:t xml:space="preserve">Family support providers </w:t>
            </w:r>
            <w:proofErr w:type="gramStart"/>
            <w:r w:rsidRPr="00C05BB0">
              <w:rPr>
                <w:sz w:val="20"/>
                <w:szCs w:val="20"/>
              </w:rPr>
              <w:t>wouldn’t</w:t>
            </w:r>
            <w:proofErr w:type="gramEnd"/>
            <w:r w:rsidRPr="00C05BB0">
              <w:rPr>
                <w:sz w:val="20"/>
                <w:szCs w:val="20"/>
              </w:rPr>
              <w:t xml:space="preserve"> be able to understand my families’ needs.</w:t>
            </w:r>
          </w:p>
        </w:tc>
        <w:tc>
          <w:tcPr>
            <w:tcW w:w="2700" w:type="dxa"/>
            <w:gridSpan w:val="3"/>
            <w:tcBorders>
              <w:top w:val="single" w:sz="4" w:space="0" w:color="auto"/>
              <w:bottom w:val="single" w:sz="4" w:space="0" w:color="auto"/>
            </w:tcBorders>
            <w:vAlign w:val="center"/>
          </w:tcPr>
          <w:p w14:paraId="136A80BB" w14:textId="77777777" w:rsidR="00756946" w:rsidRDefault="00756946" w:rsidP="0070291D">
            <w:pPr>
              <w:spacing w:after="80" w:line="240" w:lineRule="auto"/>
              <w:jc w:val="center"/>
              <w:rPr>
                <w:noProof/>
                <w:sz w:val="20"/>
                <w:szCs w:val="20"/>
              </w:rPr>
            </w:pPr>
            <w:r>
              <w:rPr>
                <w:noProof/>
                <w:sz w:val="20"/>
                <w:szCs w:val="20"/>
              </w:rPr>
              <w:drawing>
                <wp:inline distT="0" distB="0" distL="0" distR="0" wp14:anchorId="3713257F" wp14:editId="17A49060">
                  <wp:extent cx="1577340" cy="733425"/>
                  <wp:effectExtent l="0" t="0" r="381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56946" w:rsidRPr="008D7903" w14:paraId="721BDEED" w14:textId="77777777" w:rsidTr="00DC05F1">
        <w:trPr>
          <w:trHeight w:val="1008"/>
        </w:trPr>
        <w:tc>
          <w:tcPr>
            <w:tcW w:w="2340" w:type="dxa"/>
            <w:tcBorders>
              <w:top w:val="single" w:sz="4" w:space="0" w:color="auto"/>
              <w:bottom w:val="single" w:sz="4" w:space="0" w:color="auto"/>
            </w:tcBorders>
            <w:shd w:val="clear" w:color="auto" w:fill="auto"/>
            <w:vAlign w:val="center"/>
          </w:tcPr>
          <w:p w14:paraId="65F1C67E" w14:textId="77777777" w:rsidR="00756946" w:rsidRPr="00E30A98" w:rsidRDefault="00756946" w:rsidP="0070291D">
            <w:pPr>
              <w:spacing w:after="80" w:line="240" w:lineRule="auto"/>
              <w:rPr>
                <w:sz w:val="20"/>
                <w:szCs w:val="20"/>
                <w:highlight w:val="yellow"/>
              </w:rPr>
            </w:pPr>
            <w:proofErr w:type="gramStart"/>
            <w:r w:rsidRPr="00C05BB0">
              <w:rPr>
                <w:sz w:val="20"/>
                <w:szCs w:val="20"/>
              </w:rPr>
              <w:t>I’m</w:t>
            </w:r>
            <w:proofErr w:type="gramEnd"/>
            <w:r w:rsidRPr="00C05BB0">
              <w:rPr>
                <w:sz w:val="20"/>
                <w:szCs w:val="20"/>
              </w:rPr>
              <w:t xml:space="preserve"> too busy.</w:t>
            </w:r>
          </w:p>
        </w:tc>
        <w:tc>
          <w:tcPr>
            <w:tcW w:w="2700" w:type="dxa"/>
            <w:gridSpan w:val="3"/>
            <w:tcBorders>
              <w:top w:val="single" w:sz="4" w:space="0" w:color="auto"/>
              <w:bottom w:val="single" w:sz="4" w:space="0" w:color="auto"/>
            </w:tcBorders>
            <w:vAlign w:val="center"/>
          </w:tcPr>
          <w:p w14:paraId="0758BB73" w14:textId="77777777" w:rsidR="00756946" w:rsidRDefault="00756946" w:rsidP="0070291D">
            <w:pPr>
              <w:spacing w:after="80" w:line="240" w:lineRule="auto"/>
              <w:jc w:val="center"/>
              <w:rPr>
                <w:noProof/>
                <w:sz w:val="20"/>
                <w:szCs w:val="20"/>
              </w:rPr>
            </w:pPr>
            <w:r>
              <w:rPr>
                <w:noProof/>
                <w:sz w:val="20"/>
                <w:szCs w:val="20"/>
              </w:rPr>
              <w:drawing>
                <wp:inline distT="0" distB="0" distL="0" distR="0" wp14:anchorId="2CE4EE3A" wp14:editId="1DAF1758">
                  <wp:extent cx="1577340" cy="733425"/>
                  <wp:effectExtent l="0" t="0" r="381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56946" w:rsidRPr="008D7903" w14:paraId="2FA00C91" w14:textId="77777777" w:rsidTr="00DC05F1">
        <w:trPr>
          <w:trHeight w:val="1340"/>
        </w:trPr>
        <w:tc>
          <w:tcPr>
            <w:tcW w:w="2340" w:type="dxa"/>
            <w:tcBorders>
              <w:top w:val="single" w:sz="4" w:space="0" w:color="auto"/>
              <w:bottom w:val="single" w:sz="4" w:space="0" w:color="auto"/>
            </w:tcBorders>
            <w:shd w:val="clear" w:color="auto" w:fill="auto"/>
            <w:vAlign w:val="center"/>
          </w:tcPr>
          <w:p w14:paraId="3244141F" w14:textId="77777777" w:rsidR="00756946" w:rsidRPr="00E30A98" w:rsidRDefault="00756946" w:rsidP="0070291D">
            <w:pPr>
              <w:spacing w:after="80" w:line="240" w:lineRule="auto"/>
              <w:rPr>
                <w:sz w:val="20"/>
                <w:szCs w:val="20"/>
                <w:highlight w:val="yellow"/>
              </w:rPr>
            </w:pPr>
            <w:r w:rsidRPr="00C05BB0">
              <w:rPr>
                <w:sz w:val="20"/>
                <w:szCs w:val="20"/>
              </w:rPr>
              <w:t>I feel like I already have enough support.</w:t>
            </w:r>
          </w:p>
        </w:tc>
        <w:tc>
          <w:tcPr>
            <w:tcW w:w="2700" w:type="dxa"/>
            <w:gridSpan w:val="3"/>
            <w:tcBorders>
              <w:top w:val="single" w:sz="4" w:space="0" w:color="auto"/>
              <w:bottom w:val="single" w:sz="4" w:space="0" w:color="auto"/>
            </w:tcBorders>
            <w:vAlign w:val="center"/>
          </w:tcPr>
          <w:p w14:paraId="78C4C3FF" w14:textId="77777777" w:rsidR="00756946" w:rsidRDefault="00756946" w:rsidP="0070291D">
            <w:pPr>
              <w:spacing w:after="80" w:line="240" w:lineRule="auto"/>
              <w:jc w:val="center"/>
              <w:rPr>
                <w:noProof/>
                <w:sz w:val="20"/>
                <w:szCs w:val="20"/>
              </w:rPr>
            </w:pPr>
            <w:r>
              <w:rPr>
                <w:noProof/>
                <w:sz w:val="20"/>
                <w:szCs w:val="20"/>
              </w:rPr>
              <w:drawing>
                <wp:inline distT="0" distB="0" distL="0" distR="0" wp14:anchorId="76C3610B" wp14:editId="534F9F64">
                  <wp:extent cx="1577340" cy="771525"/>
                  <wp:effectExtent l="0" t="0" r="381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44A01E9" w14:textId="2A455DF5" w:rsidR="007C0712" w:rsidRPr="00B402CF" w:rsidRDefault="007C0712" w:rsidP="006864DC">
      <w:pPr>
        <w:spacing w:after="80" w:line="240" w:lineRule="auto"/>
        <w:rPr>
          <w:sz w:val="22"/>
        </w:rPr>
        <w:sectPr w:rsidR="007C0712" w:rsidRPr="00B402CF" w:rsidSect="00E2719B">
          <w:type w:val="continuous"/>
          <w:pgSz w:w="12240" w:h="15840"/>
          <w:pgMar w:top="1350" w:right="720" w:bottom="720" w:left="720" w:header="720" w:footer="56" w:gutter="0"/>
          <w:cols w:num="2" w:space="720"/>
          <w:docGrid w:linePitch="360"/>
        </w:sectPr>
      </w:pPr>
    </w:p>
    <w:p w14:paraId="701F2B29" w14:textId="6033D5C1" w:rsidR="00475B21" w:rsidRDefault="00475B21">
      <w:pPr>
        <w:spacing w:after="0" w:line="240" w:lineRule="auto"/>
        <w:rPr>
          <w:rStyle w:val="Heading2Char"/>
          <w:rFonts w:ascii="Calibri" w:hAnsi="Calibri"/>
          <w:bCs w:val="0"/>
          <w:color w:val="4472C4" w:themeColor="accent5"/>
          <w:sz w:val="32"/>
          <w:lang w:eastAsia="x-none"/>
        </w:rPr>
      </w:pPr>
      <w:bookmarkStart w:id="0" w:name="_GoBack"/>
      <w:bookmarkEnd w:id="0"/>
    </w:p>
    <w:sectPr w:rsidR="00475B21" w:rsidSect="00F12951">
      <w:type w:val="continuous"/>
      <w:pgSz w:w="12240" w:h="15840"/>
      <w:pgMar w:top="1350" w:right="720" w:bottom="720" w:left="720" w:header="720" w:footer="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480F" w14:textId="77777777" w:rsidR="007B21B4" w:rsidRDefault="007B21B4" w:rsidP="00BA2FE9">
      <w:pPr>
        <w:spacing w:after="0" w:line="240" w:lineRule="auto"/>
      </w:pPr>
      <w:r>
        <w:separator/>
      </w:r>
    </w:p>
  </w:endnote>
  <w:endnote w:type="continuationSeparator" w:id="0">
    <w:p w14:paraId="3BF01BEA" w14:textId="77777777" w:rsidR="007B21B4" w:rsidRDefault="007B21B4" w:rsidP="00BA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931"/>
      <w:gridCol w:w="869"/>
    </w:tblGrid>
    <w:tr w:rsidR="007B21B4" w:rsidRPr="00A9798F" w14:paraId="3F6090FF" w14:textId="77777777" w:rsidTr="008647E7">
      <w:tc>
        <w:tcPr>
          <w:tcW w:w="9468" w:type="dxa"/>
        </w:tcPr>
        <w:p w14:paraId="07FB0694" w14:textId="77777777" w:rsidR="007B21B4" w:rsidRDefault="007B21B4" w:rsidP="00355BE6">
          <w:pPr>
            <w:pStyle w:val="Footer"/>
            <w:jc w:val="right"/>
            <w:rPr>
              <w:sz w:val="18"/>
              <w:szCs w:val="18"/>
            </w:rPr>
          </w:pPr>
          <w:r>
            <w:rPr>
              <w:noProof/>
            </w:rPr>
            <w:drawing>
              <wp:anchor distT="0" distB="0" distL="114300" distR="114300" simplePos="0" relativeHeight="251661312" behindDoc="0" locked="0" layoutInCell="1" allowOverlap="1" wp14:anchorId="00DA85AE" wp14:editId="09E26D8A">
                <wp:simplePos x="0" y="0"/>
                <wp:positionH relativeFrom="column">
                  <wp:posOffset>-68580</wp:posOffset>
                </wp:positionH>
                <wp:positionV relativeFrom="page">
                  <wp:posOffset>423</wp:posOffset>
                </wp:positionV>
                <wp:extent cx="1583690" cy="2965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98F">
            <w:rPr>
              <w:sz w:val="18"/>
              <w:szCs w:val="18"/>
            </w:rPr>
            <w:t>Center for Improvement of Child and Family Services</w:t>
          </w:r>
        </w:p>
        <w:p w14:paraId="68CB35E1" w14:textId="0C49DBBB" w:rsidR="007B21B4" w:rsidRPr="00C80D4B" w:rsidRDefault="007B21B4" w:rsidP="004C5BE7">
          <w:pPr>
            <w:pStyle w:val="Footer"/>
            <w:jc w:val="right"/>
            <w:rPr>
              <w:sz w:val="18"/>
              <w:szCs w:val="18"/>
            </w:rPr>
          </w:pPr>
          <w:r>
            <w:rPr>
              <w:sz w:val="18"/>
              <w:szCs w:val="18"/>
            </w:rPr>
            <w:t xml:space="preserve">HVSC Community  Awareness Survey </w:t>
          </w:r>
          <w:r w:rsidR="004C5BE7">
            <w:rPr>
              <w:sz w:val="18"/>
              <w:szCs w:val="18"/>
            </w:rPr>
            <w:t xml:space="preserve">Executive </w:t>
          </w:r>
          <w:r>
            <w:rPr>
              <w:sz w:val="18"/>
              <w:szCs w:val="18"/>
            </w:rPr>
            <w:t xml:space="preserve">Summary   </w:t>
          </w:r>
          <w:r>
            <w:rPr>
              <w:sz w:val="18"/>
              <w:szCs w:val="18"/>
            </w:rPr>
            <w:sym w:font="Symbol" w:char="F0B7"/>
          </w:r>
          <w:r>
            <w:rPr>
              <w:sz w:val="18"/>
              <w:szCs w:val="18"/>
            </w:rPr>
            <w:t xml:space="preserve">   </w:t>
          </w:r>
          <w:r w:rsidRPr="00F755A7">
            <w:rPr>
              <w:sz w:val="18"/>
              <w:szCs w:val="18"/>
            </w:rPr>
            <w:t xml:space="preserve">Page </w:t>
          </w:r>
          <w:r w:rsidRPr="00F755A7">
            <w:rPr>
              <w:b/>
              <w:bCs/>
              <w:sz w:val="18"/>
              <w:szCs w:val="18"/>
            </w:rPr>
            <w:fldChar w:fldCharType="begin"/>
          </w:r>
          <w:r w:rsidRPr="00F755A7">
            <w:rPr>
              <w:b/>
              <w:bCs/>
              <w:sz w:val="18"/>
              <w:szCs w:val="18"/>
            </w:rPr>
            <w:instrText xml:space="preserve"> PAGE  \* Arabic  \* MERGEFORMAT </w:instrText>
          </w:r>
          <w:r w:rsidRPr="00F755A7">
            <w:rPr>
              <w:b/>
              <w:bCs/>
              <w:sz w:val="18"/>
              <w:szCs w:val="18"/>
            </w:rPr>
            <w:fldChar w:fldCharType="separate"/>
          </w:r>
          <w:r w:rsidR="00DC05F1">
            <w:rPr>
              <w:b/>
              <w:bCs/>
              <w:noProof/>
              <w:sz w:val="18"/>
              <w:szCs w:val="18"/>
            </w:rPr>
            <w:t>2</w:t>
          </w:r>
          <w:r w:rsidRPr="00F755A7">
            <w:rPr>
              <w:b/>
              <w:bCs/>
              <w:sz w:val="18"/>
              <w:szCs w:val="18"/>
            </w:rPr>
            <w:fldChar w:fldCharType="end"/>
          </w:r>
          <w:r w:rsidRPr="00F755A7">
            <w:rPr>
              <w:sz w:val="18"/>
              <w:szCs w:val="18"/>
            </w:rPr>
            <w:t xml:space="preserve"> of </w:t>
          </w:r>
          <w:r w:rsidRPr="00F755A7">
            <w:rPr>
              <w:b/>
              <w:bCs/>
              <w:sz w:val="18"/>
              <w:szCs w:val="18"/>
            </w:rPr>
            <w:fldChar w:fldCharType="begin"/>
          </w:r>
          <w:r w:rsidRPr="00F755A7">
            <w:rPr>
              <w:b/>
              <w:bCs/>
              <w:sz w:val="18"/>
              <w:szCs w:val="18"/>
            </w:rPr>
            <w:instrText xml:space="preserve"> NUMPAGES  \* Arabic  \* MERGEFORMAT </w:instrText>
          </w:r>
          <w:r w:rsidRPr="00F755A7">
            <w:rPr>
              <w:b/>
              <w:bCs/>
              <w:sz w:val="18"/>
              <w:szCs w:val="18"/>
            </w:rPr>
            <w:fldChar w:fldCharType="separate"/>
          </w:r>
          <w:r w:rsidR="00DC05F1">
            <w:rPr>
              <w:b/>
              <w:bCs/>
              <w:noProof/>
              <w:sz w:val="18"/>
              <w:szCs w:val="18"/>
            </w:rPr>
            <w:t>2</w:t>
          </w:r>
          <w:r w:rsidRPr="00F755A7">
            <w:rPr>
              <w:b/>
              <w:bCs/>
              <w:sz w:val="18"/>
              <w:szCs w:val="18"/>
            </w:rPr>
            <w:fldChar w:fldCharType="end"/>
          </w:r>
        </w:p>
      </w:tc>
      <w:tc>
        <w:tcPr>
          <w:tcW w:w="828" w:type="dxa"/>
        </w:tcPr>
        <w:p w14:paraId="56DEE0BD" w14:textId="77777777" w:rsidR="007B21B4" w:rsidRPr="00A9798F" w:rsidRDefault="007B21B4">
          <w:pPr>
            <w:pStyle w:val="Footer"/>
          </w:pPr>
        </w:p>
      </w:tc>
    </w:tr>
  </w:tbl>
  <w:p w14:paraId="76A75469" w14:textId="77777777" w:rsidR="007B21B4" w:rsidRDefault="007B2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9F83" w14:textId="77777777" w:rsidR="007B21B4" w:rsidRDefault="007B21B4" w:rsidP="00BA2FE9">
      <w:pPr>
        <w:spacing w:after="0" w:line="240" w:lineRule="auto"/>
      </w:pPr>
      <w:r>
        <w:separator/>
      </w:r>
    </w:p>
  </w:footnote>
  <w:footnote w:type="continuationSeparator" w:id="0">
    <w:p w14:paraId="11A76286" w14:textId="77777777" w:rsidR="007B21B4" w:rsidRDefault="007B21B4" w:rsidP="00BA2FE9">
      <w:pPr>
        <w:spacing w:after="0" w:line="240" w:lineRule="auto"/>
      </w:pPr>
      <w:r>
        <w:continuationSeparator/>
      </w:r>
    </w:p>
  </w:footnote>
  <w:footnote w:id="1">
    <w:p w14:paraId="34C403BE" w14:textId="7AAD9D70" w:rsidR="004C5BE7" w:rsidRDefault="004C5BE7">
      <w:pPr>
        <w:pStyle w:val="FootnoteText"/>
      </w:pPr>
      <w:r>
        <w:rPr>
          <w:rStyle w:val="FootnoteReference"/>
        </w:rPr>
        <w:footnoteRef/>
      </w:r>
      <w:r>
        <w:t xml:space="preserve"> </w:t>
      </w:r>
      <w:r w:rsidRPr="00F60595">
        <w:t xml:space="preserve">Demographic &amp; Housing Estimates, </w:t>
      </w:r>
      <w:r>
        <w:t xml:space="preserve">Adults 18 and older, </w:t>
      </w:r>
      <w:r w:rsidRPr="00F60595">
        <w:t>2013-</w:t>
      </w:r>
      <w:r>
        <w:t>2017 American Community Survey</w:t>
      </w:r>
      <w:r w:rsidRPr="00F60595">
        <w:t>.</w:t>
      </w:r>
    </w:p>
    <w:p w14:paraId="717DBDF5" w14:textId="1DFFD12F" w:rsidR="00CD6AF1" w:rsidRDefault="00CD6AF1">
      <w:pPr>
        <w:pStyle w:val="FootnoteText"/>
        <w:rPr>
          <w:lang w:val="en-US"/>
        </w:rPr>
      </w:pPr>
    </w:p>
    <w:p w14:paraId="7A08BFA1" w14:textId="77777777" w:rsidR="00CD6AF1" w:rsidRPr="004C5BE7" w:rsidRDefault="00CD6AF1">
      <w:pPr>
        <w:pStyle w:val="FootnoteText"/>
        <w:rPr>
          <w:lang w:val="en-US"/>
        </w:rPr>
      </w:pPr>
    </w:p>
  </w:footnote>
  <w:footnote w:id="2">
    <w:p w14:paraId="5B113803" w14:textId="3D2ACA4D" w:rsidR="00CD6AF1" w:rsidRPr="004C5BE7" w:rsidRDefault="004C5BE7">
      <w:pPr>
        <w:pStyle w:val="FootnoteText"/>
        <w:rPr>
          <w:lang w:val="en-US"/>
        </w:rPr>
      </w:pPr>
      <w:r>
        <w:rPr>
          <w:rStyle w:val="FootnoteReference"/>
        </w:rPr>
        <w:footnoteRef/>
      </w:r>
      <w:r>
        <w:t xml:space="preserve"> </w:t>
      </w:r>
      <w:r>
        <w:rPr>
          <w:lang w:val="en-US"/>
        </w:rPr>
        <w:t>American Community Survey, 2013-2017. Demographic &amp; Housing Estimates, Adults 18 and older for Gender, Age, Education</w:t>
      </w:r>
      <w:r w:rsidR="00CD6AF1">
        <w:rPr>
          <w:lang w:val="en-US"/>
        </w:rPr>
        <w:t xml:space="preserve"> &amp; Race/Ethnicity</w:t>
      </w:r>
      <w:r>
        <w:rPr>
          <w:lang w:val="en-US"/>
        </w:rPr>
        <w:t>; Adults 15 and older for Marital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D16E" w14:textId="30AB3265" w:rsidR="007B21B4" w:rsidRPr="000E0B11" w:rsidRDefault="007B21B4" w:rsidP="005D7CBC">
    <w:pPr>
      <w:pStyle w:val="Header"/>
      <w:tabs>
        <w:tab w:val="clear" w:pos="4680"/>
        <w:tab w:val="clear" w:pos="9360"/>
        <w:tab w:val="left" w:pos="4170"/>
      </w:tabs>
    </w:pPr>
    <w:r>
      <w:rPr>
        <w:noProof/>
      </w:rPr>
      <mc:AlternateContent>
        <mc:Choice Requires="wps">
          <w:drawing>
            <wp:anchor distT="0" distB="0" distL="114300" distR="114300" simplePos="0" relativeHeight="251659264" behindDoc="1" locked="0" layoutInCell="1" allowOverlap="1" wp14:anchorId="1463DD36" wp14:editId="23ABD739">
              <wp:simplePos x="0" y="0"/>
              <wp:positionH relativeFrom="column">
                <wp:posOffset>-390525</wp:posOffset>
              </wp:positionH>
              <wp:positionV relativeFrom="paragraph">
                <wp:posOffset>-390525</wp:posOffset>
              </wp:positionV>
              <wp:extent cx="7641590" cy="695325"/>
              <wp:effectExtent l="57150" t="57150" r="73660" b="85725"/>
              <wp:wrapTight wrapText="bothSides">
                <wp:wrapPolygon edited="0">
                  <wp:start x="-162" y="-1775"/>
                  <wp:lineTo x="-162" y="23671"/>
                  <wp:lineTo x="21754" y="23671"/>
                  <wp:lineTo x="21754" y="-1775"/>
                  <wp:lineTo x="-162" y="-1775"/>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695325"/>
                      </a:xfrm>
                      <a:prstGeom prst="rect">
                        <a:avLst/>
                      </a:prstGeom>
                      <a:solidFill>
                        <a:schemeClr val="accent5">
                          <a:lumMod val="40000"/>
                          <a:lumOff val="60000"/>
                        </a:schemeClr>
                      </a:solidFill>
                      <a:ln w="127000" cmpd="dbl" algn="ctr">
                        <a:solidFill>
                          <a:schemeClr val="accent5">
                            <a:lumMod val="40000"/>
                            <a:lumOff val="6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E1A8" id="Rectangle 6" o:spid="_x0000_s1026" style="position:absolute;margin-left:-30.75pt;margin-top:-30.75pt;width:601.7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" fillcolor="#b4c6e7 [1304]" strokecolor="#b4c6e7 [1304]" strokeweight="10pt">
              <v:stroke linestyle="thinThin"/>
              <w10:wrap type="tigh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B3C"/>
    <w:multiLevelType w:val="hybridMultilevel"/>
    <w:tmpl w:val="62663E04"/>
    <w:lvl w:ilvl="0" w:tplc="9F4A5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738C7"/>
    <w:multiLevelType w:val="hybridMultilevel"/>
    <w:tmpl w:val="EB0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5651"/>
    <w:multiLevelType w:val="hybridMultilevel"/>
    <w:tmpl w:val="426C8A3C"/>
    <w:lvl w:ilvl="0" w:tplc="C3D2D7D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5C14"/>
    <w:multiLevelType w:val="hybridMultilevel"/>
    <w:tmpl w:val="FC62EEE4"/>
    <w:lvl w:ilvl="0" w:tplc="7A4659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E17B2"/>
    <w:multiLevelType w:val="hybridMultilevel"/>
    <w:tmpl w:val="A8DA3686"/>
    <w:lvl w:ilvl="0" w:tplc="7E748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D3763"/>
    <w:multiLevelType w:val="hybridMultilevel"/>
    <w:tmpl w:val="12FCB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137CB"/>
    <w:multiLevelType w:val="hybridMultilevel"/>
    <w:tmpl w:val="6F9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63A42"/>
    <w:multiLevelType w:val="hybridMultilevel"/>
    <w:tmpl w:val="C81A18FA"/>
    <w:lvl w:ilvl="0" w:tplc="AE706A82">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31821"/>
    <w:multiLevelType w:val="hybridMultilevel"/>
    <w:tmpl w:val="E3FE2864"/>
    <w:lvl w:ilvl="0" w:tplc="936635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23F07"/>
    <w:multiLevelType w:val="hybridMultilevel"/>
    <w:tmpl w:val="FCACE4F4"/>
    <w:lvl w:ilvl="0" w:tplc="23189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F44E6"/>
    <w:multiLevelType w:val="hybridMultilevel"/>
    <w:tmpl w:val="EDAE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E1FDA"/>
    <w:multiLevelType w:val="hybridMultilevel"/>
    <w:tmpl w:val="BAA4B55C"/>
    <w:lvl w:ilvl="0" w:tplc="3C82C0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0093D"/>
    <w:multiLevelType w:val="hybridMultilevel"/>
    <w:tmpl w:val="263C2CD2"/>
    <w:lvl w:ilvl="0" w:tplc="7EA63CA0">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3421F"/>
    <w:multiLevelType w:val="hybridMultilevel"/>
    <w:tmpl w:val="E3584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E2C01DD"/>
    <w:multiLevelType w:val="hybridMultilevel"/>
    <w:tmpl w:val="5D14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E668F"/>
    <w:multiLevelType w:val="hybridMultilevel"/>
    <w:tmpl w:val="B448C94E"/>
    <w:lvl w:ilvl="0" w:tplc="B83436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E30D9"/>
    <w:multiLevelType w:val="hybridMultilevel"/>
    <w:tmpl w:val="B204F29E"/>
    <w:lvl w:ilvl="0" w:tplc="1FF41BBE">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7" w15:restartNumberingAfterBreak="0">
    <w:nsid w:val="62E36FEF"/>
    <w:multiLevelType w:val="hybridMultilevel"/>
    <w:tmpl w:val="F646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5607B"/>
    <w:multiLevelType w:val="hybridMultilevel"/>
    <w:tmpl w:val="16A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C4BFE"/>
    <w:multiLevelType w:val="hybridMultilevel"/>
    <w:tmpl w:val="0E50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837E8"/>
    <w:multiLevelType w:val="hybridMultilevel"/>
    <w:tmpl w:val="1E5C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14829"/>
    <w:multiLevelType w:val="hybridMultilevel"/>
    <w:tmpl w:val="14729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872E5"/>
    <w:multiLevelType w:val="hybridMultilevel"/>
    <w:tmpl w:val="076C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34B15"/>
    <w:multiLevelType w:val="hybridMultilevel"/>
    <w:tmpl w:val="4D46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73FE1"/>
    <w:multiLevelType w:val="hybridMultilevel"/>
    <w:tmpl w:val="31946246"/>
    <w:lvl w:ilvl="0" w:tplc="B83436F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8B11C6"/>
    <w:multiLevelType w:val="hybridMultilevel"/>
    <w:tmpl w:val="34C8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
  </w:num>
  <w:num w:numId="5">
    <w:abstractNumId w:val="5"/>
  </w:num>
  <w:num w:numId="6">
    <w:abstractNumId w:val="10"/>
  </w:num>
  <w:num w:numId="7">
    <w:abstractNumId w:val="21"/>
  </w:num>
  <w:num w:numId="8">
    <w:abstractNumId w:val="24"/>
  </w:num>
  <w:num w:numId="9">
    <w:abstractNumId w:val="20"/>
  </w:num>
  <w:num w:numId="10">
    <w:abstractNumId w:val="14"/>
  </w:num>
  <w:num w:numId="11">
    <w:abstractNumId w:val="19"/>
  </w:num>
  <w:num w:numId="12">
    <w:abstractNumId w:val="23"/>
  </w:num>
  <w:num w:numId="13">
    <w:abstractNumId w:val="17"/>
  </w:num>
  <w:num w:numId="14">
    <w:abstractNumId w:val="12"/>
  </w:num>
  <w:num w:numId="15">
    <w:abstractNumId w:val="6"/>
  </w:num>
  <w:num w:numId="16">
    <w:abstractNumId w:val="22"/>
  </w:num>
  <w:num w:numId="17">
    <w:abstractNumId w:val="15"/>
  </w:num>
  <w:num w:numId="18">
    <w:abstractNumId w:val="4"/>
  </w:num>
  <w:num w:numId="19">
    <w:abstractNumId w:val="11"/>
  </w:num>
  <w:num w:numId="20">
    <w:abstractNumId w:val="9"/>
  </w:num>
  <w:num w:numId="21">
    <w:abstractNumId w:val="15"/>
  </w:num>
  <w:num w:numId="22">
    <w:abstractNumId w:val="8"/>
  </w:num>
  <w:num w:numId="23">
    <w:abstractNumId w:val="16"/>
  </w:num>
  <w:num w:numId="24">
    <w:abstractNumId w:val="2"/>
  </w:num>
  <w:num w:numId="25">
    <w:abstractNumId w:val="13"/>
  </w:num>
  <w:num w:numId="26">
    <w:abstractNumId w:val="16"/>
  </w:num>
  <w:num w:numId="27">
    <w:abstractNumId w:val="3"/>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o:colormru v:ext="edit" colors="#7c9b3f,#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E9"/>
    <w:rsid w:val="000019A9"/>
    <w:rsid w:val="00005050"/>
    <w:rsid w:val="00005437"/>
    <w:rsid w:val="00006015"/>
    <w:rsid w:val="00006CB6"/>
    <w:rsid w:val="000114A4"/>
    <w:rsid w:val="000125DD"/>
    <w:rsid w:val="00012A1C"/>
    <w:rsid w:val="00015A88"/>
    <w:rsid w:val="0002111D"/>
    <w:rsid w:val="00021BF6"/>
    <w:rsid w:val="00022F4C"/>
    <w:rsid w:val="000238B9"/>
    <w:rsid w:val="00030246"/>
    <w:rsid w:val="00030640"/>
    <w:rsid w:val="00033C06"/>
    <w:rsid w:val="00037CF4"/>
    <w:rsid w:val="00040007"/>
    <w:rsid w:val="00043194"/>
    <w:rsid w:val="00043212"/>
    <w:rsid w:val="000446F0"/>
    <w:rsid w:val="000454B9"/>
    <w:rsid w:val="00045FF0"/>
    <w:rsid w:val="00051F22"/>
    <w:rsid w:val="00053AD5"/>
    <w:rsid w:val="00053FD3"/>
    <w:rsid w:val="0005746C"/>
    <w:rsid w:val="00057DB3"/>
    <w:rsid w:val="000639C5"/>
    <w:rsid w:val="000656FF"/>
    <w:rsid w:val="00066823"/>
    <w:rsid w:val="0006780E"/>
    <w:rsid w:val="00067C7E"/>
    <w:rsid w:val="00072121"/>
    <w:rsid w:val="00072473"/>
    <w:rsid w:val="0007776C"/>
    <w:rsid w:val="000800E1"/>
    <w:rsid w:val="000818A2"/>
    <w:rsid w:val="00082E9C"/>
    <w:rsid w:val="00084078"/>
    <w:rsid w:val="00086A43"/>
    <w:rsid w:val="000901F4"/>
    <w:rsid w:val="00090F3F"/>
    <w:rsid w:val="000934F5"/>
    <w:rsid w:val="0009468C"/>
    <w:rsid w:val="000A513B"/>
    <w:rsid w:val="000A6C1F"/>
    <w:rsid w:val="000A7B72"/>
    <w:rsid w:val="000B1513"/>
    <w:rsid w:val="000B5455"/>
    <w:rsid w:val="000B6DEF"/>
    <w:rsid w:val="000C2EA3"/>
    <w:rsid w:val="000C368B"/>
    <w:rsid w:val="000C6069"/>
    <w:rsid w:val="000C7416"/>
    <w:rsid w:val="000C7D86"/>
    <w:rsid w:val="000D20DF"/>
    <w:rsid w:val="000E0B11"/>
    <w:rsid w:val="000E0EC6"/>
    <w:rsid w:val="000E3EAE"/>
    <w:rsid w:val="000E3F03"/>
    <w:rsid w:val="000E5721"/>
    <w:rsid w:val="000E7E90"/>
    <w:rsid w:val="000F6D50"/>
    <w:rsid w:val="000F6E44"/>
    <w:rsid w:val="0010499D"/>
    <w:rsid w:val="00105FA7"/>
    <w:rsid w:val="00106A24"/>
    <w:rsid w:val="0011448C"/>
    <w:rsid w:val="0012711F"/>
    <w:rsid w:val="001435A6"/>
    <w:rsid w:val="00143BBC"/>
    <w:rsid w:val="0015022D"/>
    <w:rsid w:val="001541D4"/>
    <w:rsid w:val="001558A7"/>
    <w:rsid w:val="00160332"/>
    <w:rsid w:val="00161B13"/>
    <w:rsid w:val="001656DE"/>
    <w:rsid w:val="00166E94"/>
    <w:rsid w:val="00170C15"/>
    <w:rsid w:val="00171A87"/>
    <w:rsid w:val="0018323F"/>
    <w:rsid w:val="001846E4"/>
    <w:rsid w:val="00195C7A"/>
    <w:rsid w:val="001A0438"/>
    <w:rsid w:val="001A5DD1"/>
    <w:rsid w:val="001B2CDD"/>
    <w:rsid w:val="001B72E8"/>
    <w:rsid w:val="001C228C"/>
    <w:rsid w:val="001C50F5"/>
    <w:rsid w:val="001C59A3"/>
    <w:rsid w:val="001C5B8D"/>
    <w:rsid w:val="001D2A75"/>
    <w:rsid w:val="001E5A30"/>
    <w:rsid w:val="001F4782"/>
    <w:rsid w:val="001F4861"/>
    <w:rsid w:val="00202FAA"/>
    <w:rsid w:val="002036BC"/>
    <w:rsid w:val="00204CC5"/>
    <w:rsid w:val="002055A1"/>
    <w:rsid w:val="0020755B"/>
    <w:rsid w:val="00207594"/>
    <w:rsid w:val="00211EAA"/>
    <w:rsid w:val="00223249"/>
    <w:rsid w:val="00224E7B"/>
    <w:rsid w:val="002253C6"/>
    <w:rsid w:val="00225DBF"/>
    <w:rsid w:val="0024208F"/>
    <w:rsid w:val="00245C3F"/>
    <w:rsid w:val="00245E0B"/>
    <w:rsid w:val="00247B95"/>
    <w:rsid w:val="00254387"/>
    <w:rsid w:val="00255B1A"/>
    <w:rsid w:val="0025744B"/>
    <w:rsid w:val="00261C90"/>
    <w:rsid w:val="00261F76"/>
    <w:rsid w:val="002676AC"/>
    <w:rsid w:val="0027222A"/>
    <w:rsid w:val="00272409"/>
    <w:rsid w:val="0027284B"/>
    <w:rsid w:val="0027633E"/>
    <w:rsid w:val="00283ED4"/>
    <w:rsid w:val="00285C17"/>
    <w:rsid w:val="00287255"/>
    <w:rsid w:val="00290CF8"/>
    <w:rsid w:val="0029105C"/>
    <w:rsid w:val="00294960"/>
    <w:rsid w:val="002973EC"/>
    <w:rsid w:val="002A106A"/>
    <w:rsid w:val="002A1799"/>
    <w:rsid w:val="002A43DD"/>
    <w:rsid w:val="002A4698"/>
    <w:rsid w:val="002A5DC9"/>
    <w:rsid w:val="002A6CA1"/>
    <w:rsid w:val="002B0513"/>
    <w:rsid w:val="002B0E00"/>
    <w:rsid w:val="002B4CF6"/>
    <w:rsid w:val="002B69E1"/>
    <w:rsid w:val="002B6A88"/>
    <w:rsid w:val="002C7C30"/>
    <w:rsid w:val="002D1502"/>
    <w:rsid w:val="002D1FD0"/>
    <w:rsid w:val="002D34E9"/>
    <w:rsid w:val="002D54B2"/>
    <w:rsid w:val="002D578F"/>
    <w:rsid w:val="002D68C1"/>
    <w:rsid w:val="002E07D2"/>
    <w:rsid w:val="002E1FBF"/>
    <w:rsid w:val="002E2253"/>
    <w:rsid w:val="002E259A"/>
    <w:rsid w:val="002F44DD"/>
    <w:rsid w:val="002F70AA"/>
    <w:rsid w:val="003002E5"/>
    <w:rsid w:val="00300C10"/>
    <w:rsid w:val="00301FD7"/>
    <w:rsid w:val="00301FE9"/>
    <w:rsid w:val="00306618"/>
    <w:rsid w:val="0030692B"/>
    <w:rsid w:val="003105BF"/>
    <w:rsid w:val="0031089A"/>
    <w:rsid w:val="0031188E"/>
    <w:rsid w:val="003148BD"/>
    <w:rsid w:val="00314DC5"/>
    <w:rsid w:val="00315BF6"/>
    <w:rsid w:val="00316BFD"/>
    <w:rsid w:val="00323450"/>
    <w:rsid w:val="00323AC9"/>
    <w:rsid w:val="00325934"/>
    <w:rsid w:val="00332FCA"/>
    <w:rsid w:val="00334BB3"/>
    <w:rsid w:val="00334EC5"/>
    <w:rsid w:val="0034227C"/>
    <w:rsid w:val="00342CA9"/>
    <w:rsid w:val="00346046"/>
    <w:rsid w:val="0034612D"/>
    <w:rsid w:val="00347DF7"/>
    <w:rsid w:val="00352F33"/>
    <w:rsid w:val="00355BE6"/>
    <w:rsid w:val="003569DC"/>
    <w:rsid w:val="00362A3B"/>
    <w:rsid w:val="00373197"/>
    <w:rsid w:val="0037322C"/>
    <w:rsid w:val="00375CFF"/>
    <w:rsid w:val="00384D7F"/>
    <w:rsid w:val="00390A95"/>
    <w:rsid w:val="00392E89"/>
    <w:rsid w:val="003963BC"/>
    <w:rsid w:val="003978F5"/>
    <w:rsid w:val="003A45B9"/>
    <w:rsid w:val="003A571F"/>
    <w:rsid w:val="003B3FBF"/>
    <w:rsid w:val="003B434F"/>
    <w:rsid w:val="003B6F2A"/>
    <w:rsid w:val="003B7584"/>
    <w:rsid w:val="003D0FCA"/>
    <w:rsid w:val="003D61A6"/>
    <w:rsid w:val="003D628D"/>
    <w:rsid w:val="003E09F7"/>
    <w:rsid w:val="003E1345"/>
    <w:rsid w:val="003E24CB"/>
    <w:rsid w:val="003E4148"/>
    <w:rsid w:val="003E6380"/>
    <w:rsid w:val="003E6A19"/>
    <w:rsid w:val="003F3E1A"/>
    <w:rsid w:val="003F6943"/>
    <w:rsid w:val="00401D35"/>
    <w:rsid w:val="00403ED3"/>
    <w:rsid w:val="004048C8"/>
    <w:rsid w:val="00405F79"/>
    <w:rsid w:val="00406B8D"/>
    <w:rsid w:val="004070BB"/>
    <w:rsid w:val="004074AA"/>
    <w:rsid w:val="0041036E"/>
    <w:rsid w:val="00411476"/>
    <w:rsid w:val="00411934"/>
    <w:rsid w:val="00411EB9"/>
    <w:rsid w:val="00420BF8"/>
    <w:rsid w:val="00423F12"/>
    <w:rsid w:val="0042431E"/>
    <w:rsid w:val="00434DF8"/>
    <w:rsid w:val="00436F09"/>
    <w:rsid w:val="004377C2"/>
    <w:rsid w:val="00446A7D"/>
    <w:rsid w:val="00447829"/>
    <w:rsid w:val="00452177"/>
    <w:rsid w:val="004523B1"/>
    <w:rsid w:val="0045448A"/>
    <w:rsid w:val="004558AD"/>
    <w:rsid w:val="00456761"/>
    <w:rsid w:val="00457417"/>
    <w:rsid w:val="00464904"/>
    <w:rsid w:val="00466DFC"/>
    <w:rsid w:val="004740B0"/>
    <w:rsid w:val="00475B21"/>
    <w:rsid w:val="00476FF9"/>
    <w:rsid w:val="004800DB"/>
    <w:rsid w:val="00480D65"/>
    <w:rsid w:val="00481F23"/>
    <w:rsid w:val="0048307A"/>
    <w:rsid w:val="00483724"/>
    <w:rsid w:val="00484A2F"/>
    <w:rsid w:val="00484D85"/>
    <w:rsid w:val="00491978"/>
    <w:rsid w:val="00492B9A"/>
    <w:rsid w:val="00494C35"/>
    <w:rsid w:val="00495D80"/>
    <w:rsid w:val="00497046"/>
    <w:rsid w:val="004A007D"/>
    <w:rsid w:val="004A1CF1"/>
    <w:rsid w:val="004A22CD"/>
    <w:rsid w:val="004B1894"/>
    <w:rsid w:val="004B554D"/>
    <w:rsid w:val="004C0A67"/>
    <w:rsid w:val="004C0CC1"/>
    <w:rsid w:val="004C3213"/>
    <w:rsid w:val="004C4C2A"/>
    <w:rsid w:val="004C5804"/>
    <w:rsid w:val="004C5BE7"/>
    <w:rsid w:val="004D5C85"/>
    <w:rsid w:val="004D6C05"/>
    <w:rsid w:val="004E086F"/>
    <w:rsid w:val="004E0CA5"/>
    <w:rsid w:val="004E1818"/>
    <w:rsid w:val="004E2CCE"/>
    <w:rsid w:val="004E76A9"/>
    <w:rsid w:val="004F27BE"/>
    <w:rsid w:val="004F4252"/>
    <w:rsid w:val="004F4373"/>
    <w:rsid w:val="0050051A"/>
    <w:rsid w:val="00502452"/>
    <w:rsid w:val="00504869"/>
    <w:rsid w:val="005051F8"/>
    <w:rsid w:val="005058F1"/>
    <w:rsid w:val="00506F8B"/>
    <w:rsid w:val="00507605"/>
    <w:rsid w:val="00510EF3"/>
    <w:rsid w:val="00522180"/>
    <w:rsid w:val="005260A2"/>
    <w:rsid w:val="0052613F"/>
    <w:rsid w:val="005279F4"/>
    <w:rsid w:val="00527C7D"/>
    <w:rsid w:val="00531C67"/>
    <w:rsid w:val="00531F12"/>
    <w:rsid w:val="00533DBF"/>
    <w:rsid w:val="0053485E"/>
    <w:rsid w:val="00537CC7"/>
    <w:rsid w:val="00537FF4"/>
    <w:rsid w:val="00544C9E"/>
    <w:rsid w:val="00545681"/>
    <w:rsid w:val="005467EE"/>
    <w:rsid w:val="00546BE9"/>
    <w:rsid w:val="00546D34"/>
    <w:rsid w:val="00547306"/>
    <w:rsid w:val="00557409"/>
    <w:rsid w:val="00560561"/>
    <w:rsid w:val="00561B83"/>
    <w:rsid w:val="00561C26"/>
    <w:rsid w:val="00561DD9"/>
    <w:rsid w:val="00567507"/>
    <w:rsid w:val="00570D5A"/>
    <w:rsid w:val="005769E7"/>
    <w:rsid w:val="005835E0"/>
    <w:rsid w:val="005878C7"/>
    <w:rsid w:val="00592FBE"/>
    <w:rsid w:val="0059739C"/>
    <w:rsid w:val="00597485"/>
    <w:rsid w:val="005A1F78"/>
    <w:rsid w:val="005A703D"/>
    <w:rsid w:val="005A7DC6"/>
    <w:rsid w:val="005B2971"/>
    <w:rsid w:val="005B3C87"/>
    <w:rsid w:val="005B4DAA"/>
    <w:rsid w:val="005B7A7A"/>
    <w:rsid w:val="005C01B3"/>
    <w:rsid w:val="005C2BAD"/>
    <w:rsid w:val="005C49B7"/>
    <w:rsid w:val="005C6D5C"/>
    <w:rsid w:val="005C6F31"/>
    <w:rsid w:val="005D11D7"/>
    <w:rsid w:val="005D42D8"/>
    <w:rsid w:val="005D43AB"/>
    <w:rsid w:val="005D57B9"/>
    <w:rsid w:val="005D6DCA"/>
    <w:rsid w:val="005D7CBC"/>
    <w:rsid w:val="005E0589"/>
    <w:rsid w:val="005E1798"/>
    <w:rsid w:val="005F5691"/>
    <w:rsid w:val="00600C06"/>
    <w:rsid w:val="00603C22"/>
    <w:rsid w:val="00610330"/>
    <w:rsid w:val="006137AD"/>
    <w:rsid w:val="006142B0"/>
    <w:rsid w:val="0061633D"/>
    <w:rsid w:val="006168F2"/>
    <w:rsid w:val="00620B59"/>
    <w:rsid w:val="00626816"/>
    <w:rsid w:val="00626B92"/>
    <w:rsid w:val="00627412"/>
    <w:rsid w:val="00633877"/>
    <w:rsid w:val="00635EA1"/>
    <w:rsid w:val="006404E9"/>
    <w:rsid w:val="00642F52"/>
    <w:rsid w:val="006436A8"/>
    <w:rsid w:val="00645BA0"/>
    <w:rsid w:val="00650058"/>
    <w:rsid w:val="006504B2"/>
    <w:rsid w:val="006529F2"/>
    <w:rsid w:val="006538E1"/>
    <w:rsid w:val="006576DB"/>
    <w:rsid w:val="00657AAE"/>
    <w:rsid w:val="00660FEF"/>
    <w:rsid w:val="006659BA"/>
    <w:rsid w:val="0066655E"/>
    <w:rsid w:val="00666CE4"/>
    <w:rsid w:val="006679BB"/>
    <w:rsid w:val="0068160E"/>
    <w:rsid w:val="006844C3"/>
    <w:rsid w:val="00686316"/>
    <w:rsid w:val="006864DC"/>
    <w:rsid w:val="0068673D"/>
    <w:rsid w:val="00687AF1"/>
    <w:rsid w:val="006915CE"/>
    <w:rsid w:val="0069359E"/>
    <w:rsid w:val="006A1547"/>
    <w:rsid w:val="006A4658"/>
    <w:rsid w:val="006A56C1"/>
    <w:rsid w:val="006B030D"/>
    <w:rsid w:val="006B056C"/>
    <w:rsid w:val="006B0B95"/>
    <w:rsid w:val="006B211C"/>
    <w:rsid w:val="006C5167"/>
    <w:rsid w:val="006C5349"/>
    <w:rsid w:val="006C5EE5"/>
    <w:rsid w:val="006D090E"/>
    <w:rsid w:val="006D3C3D"/>
    <w:rsid w:val="006D78F0"/>
    <w:rsid w:val="006E180A"/>
    <w:rsid w:val="006E69F0"/>
    <w:rsid w:val="006E7E43"/>
    <w:rsid w:val="006F0B21"/>
    <w:rsid w:val="006F2E1B"/>
    <w:rsid w:val="006F5A12"/>
    <w:rsid w:val="006F6B6F"/>
    <w:rsid w:val="0070291D"/>
    <w:rsid w:val="00711179"/>
    <w:rsid w:val="00711695"/>
    <w:rsid w:val="007143E5"/>
    <w:rsid w:val="00716E15"/>
    <w:rsid w:val="007172F8"/>
    <w:rsid w:val="00720B0F"/>
    <w:rsid w:val="0072141B"/>
    <w:rsid w:val="007226B5"/>
    <w:rsid w:val="00722C58"/>
    <w:rsid w:val="00726275"/>
    <w:rsid w:val="00734B61"/>
    <w:rsid w:val="00745789"/>
    <w:rsid w:val="00745D8F"/>
    <w:rsid w:val="00747805"/>
    <w:rsid w:val="00750C0E"/>
    <w:rsid w:val="00750CE8"/>
    <w:rsid w:val="0075103E"/>
    <w:rsid w:val="00752660"/>
    <w:rsid w:val="00756918"/>
    <w:rsid w:val="00756946"/>
    <w:rsid w:val="007627D9"/>
    <w:rsid w:val="007935F8"/>
    <w:rsid w:val="00794010"/>
    <w:rsid w:val="00794440"/>
    <w:rsid w:val="00794BB2"/>
    <w:rsid w:val="007B04CD"/>
    <w:rsid w:val="007B21B4"/>
    <w:rsid w:val="007C0712"/>
    <w:rsid w:val="007C46ED"/>
    <w:rsid w:val="007D24B7"/>
    <w:rsid w:val="007D53CF"/>
    <w:rsid w:val="007D5F2B"/>
    <w:rsid w:val="007D7644"/>
    <w:rsid w:val="007E1BA3"/>
    <w:rsid w:val="007E21C4"/>
    <w:rsid w:val="007E7898"/>
    <w:rsid w:val="007F04EB"/>
    <w:rsid w:val="007F0E9A"/>
    <w:rsid w:val="007F4D88"/>
    <w:rsid w:val="007F68CD"/>
    <w:rsid w:val="00804BD9"/>
    <w:rsid w:val="00805FAB"/>
    <w:rsid w:val="00806DC6"/>
    <w:rsid w:val="00807177"/>
    <w:rsid w:val="008115BB"/>
    <w:rsid w:val="00811631"/>
    <w:rsid w:val="00820FFE"/>
    <w:rsid w:val="00825291"/>
    <w:rsid w:val="00832324"/>
    <w:rsid w:val="00835B57"/>
    <w:rsid w:val="008374CB"/>
    <w:rsid w:val="008419E2"/>
    <w:rsid w:val="00843FD3"/>
    <w:rsid w:val="0084504A"/>
    <w:rsid w:val="0084742C"/>
    <w:rsid w:val="00851CD4"/>
    <w:rsid w:val="00853824"/>
    <w:rsid w:val="0085426E"/>
    <w:rsid w:val="00855436"/>
    <w:rsid w:val="008575EC"/>
    <w:rsid w:val="00863858"/>
    <w:rsid w:val="008647E7"/>
    <w:rsid w:val="00866C2D"/>
    <w:rsid w:val="00867317"/>
    <w:rsid w:val="008708F3"/>
    <w:rsid w:val="00876B1A"/>
    <w:rsid w:val="00876C2C"/>
    <w:rsid w:val="00881C9C"/>
    <w:rsid w:val="00882155"/>
    <w:rsid w:val="00885067"/>
    <w:rsid w:val="008867AA"/>
    <w:rsid w:val="00887D5C"/>
    <w:rsid w:val="008919A2"/>
    <w:rsid w:val="00893479"/>
    <w:rsid w:val="008A0956"/>
    <w:rsid w:val="008A427C"/>
    <w:rsid w:val="008A4BEA"/>
    <w:rsid w:val="008B02DF"/>
    <w:rsid w:val="008B1754"/>
    <w:rsid w:val="008B19C1"/>
    <w:rsid w:val="008B35A7"/>
    <w:rsid w:val="008B5300"/>
    <w:rsid w:val="008C085D"/>
    <w:rsid w:val="008C1CCF"/>
    <w:rsid w:val="008C5D1F"/>
    <w:rsid w:val="008C606B"/>
    <w:rsid w:val="008D24DE"/>
    <w:rsid w:val="008D3F97"/>
    <w:rsid w:val="008D74CB"/>
    <w:rsid w:val="008D7903"/>
    <w:rsid w:val="008E196B"/>
    <w:rsid w:val="008E3DD0"/>
    <w:rsid w:val="008F33A2"/>
    <w:rsid w:val="00901214"/>
    <w:rsid w:val="009043C8"/>
    <w:rsid w:val="009072B7"/>
    <w:rsid w:val="00907BCD"/>
    <w:rsid w:val="00913E09"/>
    <w:rsid w:val="009155E9"/>
    <w:rsid w:val="009159C0"/>
    <w:rsid w:val="0092241D"/>
    <w:rsid w:val="00925E78"/>
    <w:rsid w:val="0092613B"/>
    <w:rsid w:val="00940CDA"/>
    <w:rsid w:val="0095214A"/>
    <w:rsid w:val="00953C0F"/>
    <w:rsid w:val="00954AA2"/>
    <w:rsid w:val="00970083"/>
    <w:rsid w:val="00973E62"/>
    <w:rsid w:val="009746A2"/>
    <w:rsid w:val="009814DA"/>
    <w:rsid w:val="00983749"/>
    <w:rsid w:val="00986013"/>
    <w:rsid w:val="00992440"/>
    <w:rsid w:val="00992C92"/>
    <w:rsid w:val="00995F40"/>
    <w:rsid w:val="00997C01"/>
    <w:rsid w:val="009A2F3A"/>
    <w:rsid w:val="009A6485"/>
    <w:rsid w:val="009A6B23"/>
    <w:rsid w:val="009B5B6D"/>
    <w:rsid w:val="009B669F"/>
    <w:rsid w:val="009C1001"/>
    <w:rsid w:val="009C15D4"/>
    <w:rsid w:val="009C38F6"/>
    <w:rsid w:val="009E0FFF"/>
    <w:rsid w:val="009E1587"/>
    <w:rsid w:val="009E255B"/>
    <w:rsid w:val="009E4FA5"/>
    <w:rsid w:val="009E54E8"/>
    <w:rsid w:val="009F0D4C"/>
    <w:rsid w:val="009F0F42"/>
    <w:rsid w:val="009F4162"/>
    <w:rsid w:val="009F41E3"/>
    <w:rsid w:val="009F59AB"/>
    <w:rsid w:val="009F5CCD"/>
    <w:rsid w:val="009F7EC4"/>
    <w:rsid w:val="00A023AA"/>
    <w:rsid w:val="00A0262B"/>
    <w:rsid w:val="00A0341D"/>
    <w:rsid w:val="00A03E49"/>
    <w:rsid w:val="00A04635"/>
    <w:rsid w:val="00A04709"/>
    <w:rsid w:val="00A0470F"/>
    <w:rsid w:val="00A10472"/>
    <w:rsid w:val="00A120EF"/>
    <w:rsid w:val="00A141AD"/>
    <w:rsid w:val="00A15696"/>
    <w:rsid w:val="00A1674C"/>
    <w:rsid w:val="00A17EF2"/>
    <w:rsid w:val="00A217BE"/>
    <w:rsid w:val="00A2270E"/>
    <w:rsid w:val="00A2427B"/>
    <w:rsid w:val="00A27873"/>
    <w:rsid w:val="00A4344A"/>
    <w:rsid w:val="00A43B0E"/>
    <w:rsid w:val="00A5216C"/>
    <w:rsid w:val="00A534F5"/>
    <w:rsid w:val="00A60E4C"/>
    <w:rsid w:val="00A6331D"/>
    <w:rsid w:val="00A6575B"/>
    <w:rsid w:val="00A705C5"/>
    <w:rsid w:val="00A75137"/>
    <w:rsid w:val="00A766C5"/>
    <w:rsid w:val="00A76F6F"/>
    <w:rsid w:val="00A81695"/>
    <w:rsid w:val="00A82B04"/>
    <w:rsid w:val="00A85C0C"/>
    <w:rsid w:val="00A913D7"/>
    <w:rsid w:val="00A91AF9"/>
    <w:rsid w:val="00A928CB"/>
    <w:rsid w:val="00A935FE"/>
    <w:rsid w:val="00A95B0F"/>
    <w:rsid w:val="00A9798F"/>
    <w:rsid w:val="00A97B5E"/>
    <w:rsid w:val="00AA440E"/>
    <w:rsid w:val="00AC0373"/>
    <w:rsid w:val="00AC089F"/>
    <w:rsid w:val="00AD5061"/>
    <w:rsid w:val="00AD630F"/>
    <w:rsid w:val="00AE247B"/>
    <w:rsid w:val="00AE2E0F"/>
    <w:rsid w:val="00AE349D"/>
    <w:rsid w:val="00AE697D"/>
    <w:rsid w:val="00AF4203"/>
    <w:rsid w:val="00B022B0"/>
    <w:rsid w:val="00B05F39"/>
    <w:rsid w:val="00B0636F"/>
    <w:rsid w:val="00B07398"/>
    <w:rsid w:val="00B11A02"/>
    <w:rsid w:val="00B1248D"/>
    <w:rsid w:val="00B13AE7"/>
    <w:rsid w:val="00B14932"/>
    <w:rsid w:val="00B16EB5"/>
    <w:rsid w:val="00B172B7"/>
    <w:rsid w:val="00B20702"/>
    <w:rsid w:val="00B225F9"/>
    <w:rsid w:val="00B24D9C"/>
    <w:rsid w:val="00B25C94"/>
    <w:rsid w:val="00B25F32"/>
    <w:rsid w:val="00B274C7"/>
    <w:rsid w:val="00B27D98"/>
    <w:rsid w:val="00B304DB"/>
    <w:rsid w:val="00B32197"/>
    <w:rsid w:val="00B32F6E"/>
    <w:rsid w:val="00B33A0C"/>
    <w:rsid w:val="00B36859"/>
    <w:rsid w:val="00B402CF"/>
    <w:rsid w:val="00B43A8D"/>
    <w:rsid w:val="00B47503"/>
    <w:rsid w:val="00B479C1"/>
    <w:rsid w:val="00B531A7"/>
    <w:rsid w:val="00B548EC"/>
    <w:rsid w:val="00B54DBD"/>
    <w:rsid w:val="00B57F60"/>
    <w:rsid w:val="00B625F1"/>
    <w:rsid w:val="00B634FF"/>
    <w:rsid w:val="00B63D90"/>
    <w:rsid w:val="00B742E6"/>
    <w:rsid w:val="00B75DD4"/>
    <w:rsid w:val="00B7657A"/>
    <w:rsid w:val="00B806F9"/>
    <w:rsid w:val="00B8317D"/>
    <w:rsid w:val="00B8754B"/>
    <w:rsid w:val="00B93503"/>
    <w:rsid w:val="00B947E4"/>
    <w:rsid w:val="00B95A8A"/>
    <w:rsid w:val="00B96D9E"/>
    <w:rsid w:val="00BA2ACD"/>
    <w:rsid w:val="00BA2FE9"/>
    <w:rsid w:val="00BA31D7"/>
    <w:rsid w:val="00BA5D9E"/>
    <w:rsid w:val="00BA5E92"/>
    <w:rsid w:val="00BA5F2C"/>
    <w:rsid w:val="00BB2E4A"/>
    <w:rsid w:val="00BB4B67"/>
    <w:rsid w:val="00BB5D38"/>
    <w:rsid w:val="00BB6569"/>
    <w:rsid w:val="00BB78E0"/>
    <w:rsid w:val="00BC0213"/>
    <w:rsid w:val="00BC238E"/>
    <w:rsid w:val="00BC497D"/>
    <w:rsid w:val="00BD26EB"/>
    <w:rsid w:val="00BE1A33"/>
    <w:rsid w:val="00BE2264"/>
    <w:rsid w:val="00BE3672"/>
    <w:rsid w:val="00BE5D8C"/>
    <w:rsid w:val="00BE7CB0"/>
    <w:rsid w:val="00BF020F"/>
    <w:rsid w:val="00BF524A"/>
    <w:rsid w:val="00C008B8"/>
    <w:rsid w:val="00C057BB"/>
    <w:rsid w:val="00C05BB0"/>
    <w:rsid w:val="00C07B22"/>
    <w:rsid w:val="00C11C52"/>
    <w:rsid w:val="00C13668"/>
    <w:rsid w:val="00C14C30"/>
    <w:rsid w:val="00C179F7"/>
    <w:rsid w:val="00C17D41"/>
    <w:rsid w:val="00C21A81"/>
    <w:rsid w:val="00C225DD"/>
    <w:rsid w:val="00C24125"/>
    <w:rsid w:val="00C308B9"/>
    <w:rsid w:val="00C33D1C"/>
    <w:rsid w:val="00C35F38"/>
    <w:rsid w:val="00C402F0"/>
    <w:rsid w:val="00C41F7D"/>
    <w:rsid w:val="00C42A65"/>
    <w:rsid w:val="00C42D96"/>
    <w:rsid w:val="00C43C65"/>
    <w:rsid w:val="00C45045"/>
    <w:rsid w:val="00C4515D"/>
    <w:rsid w:val="00C47B95"/>
    <w:rsid w:val="00C52402"/>
    <w:rsid w:val="00C56D39"/>
    <w:rsid w:val="00C5776E"/>
    <w:rsid w:val="00C57CAD"/>
    <w:rsid w:val="00C62643"/>
    <w:rsid w:val="00C62E73"/>
    <w:rsid w:val="00C63E51"/>
    <w:rsid w:val="00C654CE"/>
    <w:rsid w:val="00C65D9C"/>
    <w:rsid w:val="00C70F46"/>
    <w:rsid w:val="00C72050"/>
    <w:rsid w:val="00C732AD"/>
    <w:rsid w:val="00C7484C"/>
    <w:rsid w:val="00C80D4B"/>
    <w:rsid w:val="00C8200E"/>
    <w:rsid w:val="00C84A88"/>
    <w:rsid w:val="00C935AF"/>
    <w:rsid w:val="00C95431"/>
    <w:rsid w:val="00CA5173"/>
    <w:rsid w:val="00CB60CD"/>
    <w:rsid w:val="00CC48D8"/>
    <w:rsid w:val="00CC5979"/>
    <w:rsid w:val="00CC78F1"/>
    <w:rsid w:val="00CD0586"/>
    <w:rsid w:val="00CD1AA5"/>
    <w:rsid w:val="00CD2B6C"/>
    <w:rsid w:val="00CD342E"/>
    <w:rsid w:val="00CD481F"/>
    <w:rsid w:val="00CD509B"/>
    <w:rsid w:val="00CD6697"/>
    <w:rsid w:val="00CD6AF1"/>
    <w:rsid w:val="00CE1605"/>
    <w:rsid w:val="00CE3DB7"/>
    <w:rsid w:val="00CE4428"/>
    <w:rsid w:val="00CE6509"/>
    <w:rsid w:val="00CF33C5"/>
    <w:rsid w:val="00CF5D40"/>
    <w:rsid w:val="00D03635"/>
    <w:rsid w:val="00D23272"/>
    <w:rsid w:val="00D23FF8"/>
    <w:rsid w:val="00D24940"/>
    <w:rsid w:val="00D2593F"/>
    <w:rsid w:val="00D32E90"/>
    <w:rsid w:val="00D37C98"/>
    <w:rsid w:val="00D42F53"/>
    <w:rsid w:val="00D43530"/>
    <w:rsid w:val="00D44578"/>
    <w:rsid w:val="00D509D8"/>
    <w:rsid w:val="00D54963"/>
    <w:rsid w:val="00D54DB6"/>
    <w:rsid w:val="00D57BBC"/>
    <w:rsid w:val="00D60430"/>
    <w:rsid w:val="00D64CC3"/>
    <w:rsid w:val="00D70DC4"/>
    <w:rsid w:val="00D75811"/>
    <w:rsid w:val="00D77A1A"/>
    <w:rsid w:val="00D81C23"/>
    <w:rsid w:val="00D8248B"/>
    <w:rsid w:val="00D86DE0"/>
    <w:rsid w:val="00D87911"/>
    <w:rsid w:val="00D90052"/>
    <w:rsid w:val="00D90B20"/>
    <w:rsid w:val="00DA13B3"/>
    <w:rsid w:val="00DA4412"/>
    <w:rsid w:val="00DB4AC5"/>
    <w:rsid w:val="00DB5A59"/>
    <w:rsid w:val="00DB77CF"/>
    <w:rsid w:val="00DC05F1"/>
    <w:rsid w:val="00DC0B9A"/>
    <w:rsid w:val="00DC312A"/>
    <w:rsid w:val="00DC7065"/>
    <w:rsid w:val="00DD2469"/>
    <w:rsid w:val="00DD2625"/>
    <w:rsid w:val="00DD53D4"/>
    <w:rsid w:val="00DE1521"/>
    <w:rsid w:val="00DE4C89"/>
    <w:rsid w:val="00DF42C0"/>
    <w:rsid w:val="00DF4C96"/>
    <w:rsid w:val="00DF69E0"/>
    <w:rsid w:val="00E03AE5"/>
    <w:rsid w:val="00E11CF2"/>
    <w:rsid w:val="00E13187"/>
    <w:rsid w:val="00E149EC"/>
    <w:rsid w:val="00E15BAA"/>
    <w:rsid w:val="00E16E03"/>
    <w:rsid w:val="00E17C2E"/>
    <w:rsid w:val="00E21D83"/>
    <w:rsid w:val="00E226EF"/>
    <w:rsid w:val="00E2719B"/>
    <w:rsid w:val="00E30A98"/>
    <w:rsid w:val="00E30C82"/>
    <w:rsid w:val="00E33CC0"/>
    <w:rsid w:val="00E364BB"/>
    <w:rsid w:val="00E36D2D"/>
    <w:rsid w:val="00E36E3A"/>
    <w:rsid w:val="00E3777B"/>
    <w:rsid w:val="00E408FE"/>
    <w:rsid w:val="00E4344E"/>
    <w:rsid w:val="00E50AC4"/>
    <w:rsid w:val="00E5284B"/>
    <w:rsid w:val="00E64CB8"/>
    <w:rsid w:val="00E7208D"/>
    <w:rsid w:val="00E7388D"/>
    <w:rsid w:val="00E7399E"/>
    <w:rsid w:val="00E75A73"/>
    <w:rsid w:val="00E76AE1"/>
    <w:rsid w:val="00E778A0"/>
    <w:rsid w:val="00E8169B"/>
    <w:rsid w:val="00E82F99"/>
    <w:rsid w:val="00E87BCC"/>
    <w:rsid w:val="00E92851"/>
    <w:rsid w:val="00E941EF"/>
    <w:rsid w:val="00E942D6"/>
    <w:rsid w:val="00E94638"/>
    <w:rsid w:val="00EA0940"/>
    <w:rsid w:val="00EA1EC8"/>
    <w:rsid w:val="00EA4272"/>
    <w:rsid w:val="00EA54F5"/>
    <w:rsid w:val="00EA716F"/>
    <w:rsid w:val="00EB1C9B"/>
    <w:rsid w:val="00EB30B5"/>
    <w:rsid w:val="00EB5352"/>
    <w:rsid w:val="00EB59AF"/>
    <w:rsid w:val="00EC0739"/>
    <w:rsid w:val="00EC25B9"/>
    <w:rsid w:val="00EC2E3E"/>
    <w:rsid w:val="00ED0C08"/>
    <w:rsid w:val="00ED1CA2"/>
    <w:rsid w:val="00ED248B"/>
    <w:rsid w:val="00ED3642"/>
    <w:rsid w:val="00ED4DD4"/>
    <w:rsid w:val="00ED5035"/>
    <w:rsid w:val="00EE1411"/>
    <w:rsid w:val="00EE3E3B"/>
    <w:rsid w:val="00EE420F"/>
    <w:rsid w:val="00EF2A62"/>
    <w:rsid w:val="00EF77E7"/>
    <w:rsid w:val="00F0239F"/>
    <w:rsid w:val="00F023F4"/>
    <w:rsid w:val="00F025FD"/>
    <w:rsid w:val="00F0344E"/>
    <w:rsid w:val="00F10A36"/>
    <w:rsid w:val="00F11B76"/>
    <w:rsid w:val="00F120DC"/>
    <w:rsid w:val="00F12951"/>
    <w:rsid w:val="00F16CC7"/>
    <w:rsid w:val="00F16F2D"/>
    <w:rsid w:val="00F22D79"/>
    <w:rsid w:val="00F230D6"/>
    <w:rsid w:val="00F24A58"/>
    <w:rsid w:val="00F256BB"/>
    <w:rsid w:val="00F25B96"/>
    <w:rsid w:val="00F26634"/>
    <w:rsid w:val="00F27C88"/>
    <w:rsid w:val="00F27DC2"/>
    <w:rsid w:val="00F322D2"/>
    <w:rsid w:val="00F33365"/>
    <w:rsid w:val="00F341CF"/>
    <w:rsid w:val="00F35FF5"/>
    <w:rsid w:val="00F409F1"/>
    <w:rsid w:val="00F44AF7"/>
    <w:rsid w:val="00F44DC2"/>
    <w:rsid w:val="00F46183"/>
    <w:rsid w:val="00F515DC"/>
    <w:rsid w:val="00F5289F"/>
    <w:rsid w:val="00F55F98"/>
    <w:rsid w:val="00F60595"/>
    <w:rsid w:val="00F6098B"/>
    <w:rsid w:val="00F6134E"/>
    <w:rsid w:val="00F64371"/>
    <w:rsid w:val="00F6701B"/>
    <w:rsid w:val="00F730E5"/>
    <w:rsid w:val="00F73228"/>
    <w:rsid w:val="00F7444C"/>
    <w:rsid w:val="00F755A7"/>
    <w:rsid w:val="00F75B86"/>
    <w:rsid w:val="00F81BC2"/>
    <w:rsid w:val="00F829A6"/>
    <w:rsid w:val="00F862B0"/>
    <w:rsid w:val="00F8649F"/>
    <w:rsid w:val="00F903A6"/>
    <w:rsid w:val="00F925D0"/>
    <w:rsid w:val="00F93451"/>
    <w:rsid w:val="00F94178"/>
    <w:rsid w:val="00F94DF0"/>
    <w:rsid w:val="00F95D00"/>
    <w:rsid w:val="00F9770C"/>
    <w:rsid w:val="00F9789F"/>
    <w:rsid w:val="00F97BE6"/>
    <w:rsid w:val="00FA06EF"/>
    <w:rsid w:val="00FA1EAB"/>
    <w:rsid w:val="00FA2C18"/>
    <w:rsid w:val="00FB3DB5"/>
    <w:rsid w:val="00FC241E"/>
    <w:rsid w:val="00FC3221"/>
    <w:rsid w:val="00FD4FAE"/>
    <w:rsid w:val="00FE0333"/>
    <w:rsid w:val="00FE08BF"/>
    <w:rsid w:val="00FE1975"/>
    <w:rsid w:val="00FE2413"/>
    <w:rsid w:val="00FE5F19"/>
    <w:rsid w:val="00FF28F0"/>
    <w:rsid w:val="00FF409B"/>
    <w:rsid w:val="00FF537A"/>
    <w:rsid w:val="00FF73A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c9b3f,#f93"/>
    </o:shapedefaults>
    <o:shapelayout v:ext="edit">
      <o:idmap v:ext="edit" data="1"/>
    </o:shapelayout>
  </w:shapeDefaults>
  <w:decimalSymbol w:val="."/>
  <w:listSeparator w:val=","/>
  <w14:docId w14:val="3551D9D5"/>
  <w15:chartTrackingRefBased/>
  <w15:docId w15:val="{C969A804-2B14-4D17-8991-9A4B2FB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D4"/>
    <w:pPr>
      <w:spacing w:after="200" w:line="276" w:lineRule="auto"/>
    </w:pPr>
    <w:rPr>
      <w:sz w:val="24"/>
      <w:szCs w:val="22"/>
    </w:rPr>
  </w:style>
  <w:style w:type="paragraph" w:styleId="Heading1">
    <w:name w:val="heading 1"/>
    <w:basedOn w:val="Normal"/>
    <w:next w:val="Normal"/>
    <w:link w:val="Heading1Char"/>
    <w:autoRedefine/>
    <w:uiPriority w:val="9"/>
    <w:qFormat/>
    <w:rsid w:val="00B8754B"/>
    <w:pPr>
      <w:keepNext/>
      <w:keepLines/>
      <w:spacing w:after="0"/>
      <w:outlineLvl w:val="0"/>
    </w:pPr>
    <w:rPr>
      <w:rFonts w:ascii="Maiandra GD" w:eastAsia="MS Gothic" w:hAnsi="Maiandra GD"/>
      <w:bCs/>
      <w:color w:val="984806"/>
      <w:sz w:val="52"/>
      <w:szCs w:val="56"/>
      <w:lang w:val="x-none" w:eastAsia="x-none"/>
    </w:rPr>
  </w:style>
  <w:style w:type="paragraph" w:styleId="Heading2">
    <w:name w:val="heading 2"/>
    <w:basedOn w:val="Normal"/>
    <w:next w:val="Normal"/>
    <w:link w:val="Heading2Char"/>
    <w:uiPriority w:val="9"/>
    <w:unhideWhenUsed/>
    <w:qFormat/>
    <w:rsid w:val="00B75DD4"/>
    <w:pPr>
      <w:keepNext/>
      <w:keepLines/>
      <w:spacing w:before="200" w:after="60"/>
      <w:outlineLvl w:val="1"/>
    </w:pPr>
    <w:rPr>
      <w:rFonts w:ascii="Maiandra GD" w:eastAsia="MS Gothic" w:hAnsi="Maiandra GD"/>
      <w:bCs/>
      <w:color w:val="984806"/>
      <w:sz w:val="36"/>
      <w:szCs w:val="26"/>
      <w:lang w:val="x-none" w:eastAsia="x-none"/>
    </w:rPr>
  </w:style>
  <w:style w:type="paragraph" w:styleId="Heading3">
    <w:name w:val="heading 3"/>
    <w:basedOn w:val="Normal"/>
    <w:next w:val="Normal"/>
    <w:link w:val="Heading3Char"/>
    <w:uiPriority w:val="9"/>
    <w:unhideWhenUsed/>
    <w:qFormat/>
    <w:rsid w:val="00F9770C"/>
    <w:pPr>
      <w:keepNext/>
      <w:keepLines/>
      <w:spacing w:before="200" w:after="0"/>
      <w:outlineLvl w:val="2"/>
    </w:pPr>
    <w:rPr>
      <w:rFonts w:eastAsia="MS Gothic"/>
      <w:bCs/>
      <w:i/>
      <w:color w:val="984806"/>
      <w:szCs w:val="20"/>
      <w:lang w:val="x-none" w:eastAsia="x-none"/>
    </w:rPr>
  </w:style>
  <w:style w:type="paragraph" w:styleId="Heading4">
    <w:name w:val="heading 4"/>
    <w:basedOn w:val="Normal"/>
    <w:next w:val="Normal"/>
    <w:link w:val="Heading4Char"/>
    <w:uiPriority w:val="9"/>
    <w:unhideWhenUsed/>
    <w:qFormat/>
    <w:rsid w:val="00EC2E3E"/>
    <w:pPr>
      <w:keepNext/>
      <w:keepLines/>
      <w:spacing w:before="200" w:after="0"/>
      <w:outlineLvl w:val="3"/>
    </w:pPr>
    <w:rPr>
      <w:rFonts w:eastAsia="MS Gothic"/>
      <w:b/>
      <w:bCs/>
      <w:i/>
      <w:iCs/>
      <w:color w:val="76923C"/>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FE9"/>
    <w:pPr>
      <w:widowControl w:val="0"/>
      <w:autoSpaceDE w:val="0"/>
      <w:autoSpaceDN w:val="0"/>
      <w:adjustRightInd w:val="0"/>
    </w:pPr>
    <w:rPr>
      <w:rFonts w:ascii="Cambria" w:eastAsia="Times New Roman" w:hAnsi="Cambria" w:cs="Cambria"/>
      <w:color w:val="000000"/>
      <w:sz w:val="24"/>
      <w:szCs w:val="24"/>
    </w:rPr>
  </w:style>
  <w:style w:type="paragraph" w:styleId="Header">
    <w:name w:val="header"/>
    <w:basedOn w:val="Normal"/>
    <w:link w:val="HeaderChar"/>
    <w:uiPriority w:val="99"/>
    <w:unhideWhenUsed/>
    <w:rsid w:val="00BA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FE9"/>
  </w:style>
  <w:style w:type="paragraph" w:styleId="Footer">
    <w:name w:val="footer"/>
    <w:basedOn w:val="Normal"/>
    <w:link w:val="FooterChar"/>
    <w:uiPriority w:val="99"/>
    <w:unhideWhenUsed/>
    <w:rsid w:val="00BA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FE9"/>
  </w:style>
  <w:style w:type="paragraph" w:styleId="BalloonText">
    <w:name w:val="Balloon Text"/>
    <w:basedOn w:val="Normal"/>
    <w:link w:val="BalloonTextChar"/>
    <w:uiPriority w:val="99"/>
    <w:semiHidden/>
    <w:unhideWhenUsed/>
    <w:rsid w:val="00BA2F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A2FE9"/>
    <w:rPr>
      <w:rFonts w:ascii="Tahoma" w:hAnsi="Tahoma" w:cs="Tahoma"/>
      <w:sz w:val="16"/>
      <w:szCs w:val="16"/>
    </w:rPr>
  </w:style>
  <w:style w:type="character" w:customStyle="1" w:styleId="Heading1Char">
    <w:name w:val="Heading 1 Char"/>
    <w:link w:val="Heading1"/>
    <w:uiPriority w:val="9"/>
    <w:rsid w:val="00B8754B"/>
    <w:rPr>
      <w:rFonts w:ascii="Maiandra GD" w:eastAsia="MS Gothic" w:hAnsi="Maiandra GD" w:cs="Times New Roman"/>
      <w:bCs/>
      <w:color w:val="984806"/>
      <w:sz w:val="52"/>
      <w:szCs w:val="56"/>
    </w:rPr>
  </w:style>
  <w:style w:type="character" w:customStyle="1" w:styleId="Heading2Char">
    <w:name w:val="Heading 2 Char"/>
    <w:link w:val="Heading2"/>
    <w:uiPriority w:val="9"/>
    <w:rsid w:val="00B75DD4"/>
    <w:rPr>
      <w:rFonts w:ascii="Maiandra GD" w:eastAsia="MS Gothic" w:hAnsi="Maiandra GD" w:cs="Times New Roman"/>
      <w:bCs/>
      <w:color w:val="984806"/>
      <w:sz w:val="36"/>
      <w:szCs w:val="26"/>
    </w:rPr>
  </w:style>
  <w:style w:type="paragraph" w:styleId="ListParagraph">
    <w:name w:val="List Paragraph"/>
    <w:basedOn w:val="Normal"/>
    <w:autoRedefine/>
    <w:uiPriority w:val="34"/>
    <w:qFormat/>
    <w:rsid w:val="007C0712"/>
    <w:pPr>
      <w:numPr>
        <w:numId w:val="24"/>
      </w:numPr>
      <w:spacing w:before="120" w:after="0" w:line="240" w:lineRule="auto"/>
    </w:pPr>
    <w:rPr>
      <w:sz w:val="22"/>
    </w:rPr>
  </w:style>
  <w:style w:type="character" w:customStyle="1" w:styleId="Heading3Char">
    <w:name w:val="Heading 3 Char"/>
    <w:link w:val="Heading3"/>
    <w:uiPriority w:val="9"/>
    <w:rsid w:val="00F9770C"/>
    <w:rPr>
      <w:rFonts w:eastAsia="MS Gothic" w:cs="Times New Roman"/>
      <w:bCs/>
      <w:i/>
      <w:color w:val="984806"/>
      <w:sz w:val="24"/>
    </w:rPr>
  </w:style>
  <w:style w:type="character" w:styleId="SubtleEmphasis">
    <w:name w:val="Subtle Emphasis"/>
    <w:uiPriority w:val="19"/>
    <w:qFormat/>
    <w:rsid w:val="00510EF3"/>
    <w:rPr>
      <w:rFonts w:ascii="Calibri" w:hAnsi="Calibri"/>
      <w:i/>
      <w:iCs/>
      <w:color w:val="984806"/>
      <w:sz w:val="24"/>
    </w:rPr>
  </w:style>
  <w:style w:type="paragraph" w:customStyle="1" w:styleId="HSHeadTwo">
    <w:name w:val="HS Head Two"/>
    <w:basedOn w:val="Subtitle"/>
    <w:autoRedefine/>
    <w:rsid w:val="000E5721"/>
    <w:pPr>
      <w:framePr w:hSpace="180" w:wrap="around" w:vAnchor="text" w:hAnchor="text" w:xAlign="center" w:y="1"/>
      <w:numPr>
        <w:ilvl w:val="0"/>
      </w:numPr>
      <w:spacing w:before="40" w:after="40" w:line="240" w:lineRule="auto"/>
      <w:ind w:right="160"/>
      <w:suppressOverlap/>
    </w:pPr>
    <w:rPr>
      <w:rFonts w:ascii="Perpetua" w:eastAsia="Times New Roman" w:hAnsi="Perpetua"/>
      <w:i w:val="0"/>
      <w:iCs w:val="0"/>
      <w:color w:val="auto"/>
      <w:spacing w:val="0"/>
      <w:sz w:val="22"/>
      <w:szCs w:val="22"/>
    </w:rPr>
  </w:style>
  <w:style w:type="paragraph" w:customStyle="1" w:styleId="NPCTableHeading">
    <w:name w:val="NPC Table Heading"/>
    <w:basedOn w:val="Normal"/>
    <w:rsid w:val="000E5721"/>
    <w:pPr>
      <w:suppressAutoHyphens/>
      <w:spacing w:after="120" w:line="240" w:lineRule="auto"/>
      <w:jc w:val="center"/>
    </w:pPr>
    <w:rPr>
      <w:rFonts w:ascii="Perpetua" w:eastAsia="Times New Roman" w:hAnsi="Perpetua" w:cs="Perpetua"/>
      <w:b/>
      <w:bCs/>
      <w:sz w:val="26"/>
      <w:szCs w:val="26"/>
    </w:rPr>
  </w:style>
  <w:style w:type="paragraph" w:styleId="Subtitle">
    <w:name w:val="Subtitle"/>
    <w:basedOn w:val="Normal"/>
    <w:next w:val="Normal"/>
    <w:link w:val="SubtitleChar"/>
    <w:uiPriority w:val="11"/>
    <w:qFormat/>
    <w:rsid w:val="00EC2E3E"/>
    <w:pPr>
      <w:numPr>
        <w:ilvl w:val="1"/>
      </w:numPr>
    </w:pPr>
    <w:rPr>
      <w:rFonts w:ascii="Maiandra GD" w:eastAsia="MS Gothic" w:hAnsi="Maiandra GD"/>
      <w:i/>
      <w:iCs/>
      <w:color w:val="76923C"/>
      <w:spacing w:val="15"/>
      <w:sz w:val="28"/>
      <w:szCs w:val="24"/>
      <w:lang w:val="x-none" w:eastAsia="x-none"/>
    </w:rPr>
  </w:style>
  <w:style w:type="character" w:customStyle="1" w:styleId="SubtitleChar">
    <w:name w:val="Subtitle Char"/>
    <w:link w:val="Subtitle"/>
    <w:uiPriority w:val="11"/>
    <w:rsid w:val="00EC2E3E"/>
    <w:rPr>
      <w:rFonts w:ascii="Maiandra GD" w:eastAsia="MS Gothic" w:hAnsi="Maiandra GD" w:cs="Times New Roman"/>
      <w:i/>
      <w:iCs/>
      <w:color w:val="76923C"/>
      <w:spacing w:val="15"/>
      <w:sz w:val="28"/>
      <w:szCs w:val="24"/>
    </w:rPr>
  </w:style>
  <w:style w:type="paragraph" w:customStyle="1" w:styleId="NPCFigureHeading">
    <w:name w:val="NPC Figure Heading"/>
    <w:basedOn w:val="Normal"/>
    <w:link w:val="NPCFigureHeadingChar"/>
    <w:rsid w:val="00510EF3"/>
    <w:pPr>
      <w:suppressAutoHyphens/>
      <w:spacing w:after="120" w:line="240" w:lineRule="auto"/>
      <w:jc w:val="center"/>
    </w:pPr>
    <w:rPr>
      <w:rFonts w:ascii="Perpetua" w:eastAsia="Times New Roman" w:hAnsi="Perpetua"/>
      <w:b/>
      <w:bCs/>
      <w:sz w:val="26"/>
      <w:szCs w:val="26"/>
      <w:lang w:val="x-none" w:eastAsia="x-none"/>
    </w:rPr>
  </w:style>
  <w:style w:type="character" w:customStyle="1" w:styleId="NPCFigureHeadingChar">
    <w:name w:val="NPC Figure Heading Char"/>
    <w:link w:val="NPCFigureHeading"/>
    <w:rsid w:val="00510EF3"/>
    <w:rPr>
      <w:rFonts w:ascii="Perpetua" w:eastAsia="Times New Roman" w:hAnsi="Perpetua" w:cs="Perpetua"/>
      <w:b/>
      <w:bCs/>
      <w:sz w:val="26"/>
      <w:szCs w:val="26"/>
    </w:rPr>
  </w:style>
  <w:style w:type="table" w:styleId="TableGrid">
    <w:name w:val="Table Grid"/>
    <w:basedOn w:val="TableNormal"/>
    <w:uiPriority w:val="59"/>
    <w:rsid w:val="0025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4C89"/>
    <w:pPr>
      <w:spacing w:after="300" w:line="240" w:lineRule="auto"/>
      <w:contextualSpacing/>
    </w:pPr>
    <w:rPr>
      <w:rFonts w:ascii="Maiandra GD" w:eastAsia="MS Gothic" w:hAnsi="Maiandra GD"/>
      <w:color w:val="984806"/>
      <w:spacing w:val="5"/>
      <w:kern w:val="28"/>
      <w:sz w:val="60"/>
      <w:szCs w:val="52"/>
      <w:lang w:val="x-none" w:eastAsia="x-none"/>
    </w:rPr>
  </w:style>
  <w:style w:type="character" w:customStyle="1" w:styleId="TitleChar">
    <w:name w:val="Title Char"/>
    <w:link w:val="Title"/>
    <w:uiPriority w:val="10"/>
    <w:rsid w:val="00DE4C89"/>
    <w:rPr>
      <w:rFonts w:ascii="Maiandra GD" w:eastAsia="MS Gothic" w:hAnsi="Maiandra GD" w:cs="Times New Roman"/>
      <w:color w:val="984806"/>
      <w:spacing w:val="5"/>
      <w:kern w:val="28"/>
      <w:sz w:val="60"/>
      <w:szCs w:val="52"/>
    </w:rPr>
  </w:style>
  <w:style w:type="character" w:customStyle="1" w:styleId="Heading4Char">
    <w:name w:val="Heading 4 Char"/>
    <w:link w:val="Heading4"/>
    <w:uiPriority w:val="9"/>
    <w:rsid w:val="00EC2E3E"/>
    <w:rPr>
      <w:rFonts w:eastAsia="MS Gothic" w:cs="Times New Roman"/>
      <w:b/>
      <w:bCs/>
      <w:i/>
      <w:iCs/>
      <w:color w:val="76923C"/>
      <w:sz w:val="24"/>
    </w:rPr>
  </w:style>
  <w:style w:type="character" w:styleId="Emphasis">
    <w:name w:val="Emphasis"/>
    <w:uiPriority w:val="20"/>
    <w:qFormat/>
    <w:rsid w:val="00EC2E3E"/>
    <w:rPr>
      <w:rFonts w:ascii="Calibri" w:hAnsi="Calibri"/>
      <w:i/>
      <w:iCs/>
    </w:rPr>
  </w:style>
  <w:style w:type="character" w:styleId="IntenseEmphasis">
    <w:name w:val="Intense Emphasis"/>
    <w:uiPriority w:val="21"/>
    <w:qFormat/>
    <w:rsid w:val="00EC2E3E"/>
    <w:rPr>
      <w:b/>
      <w:bCs/>
      <w:i/>
      <w:iCs/>
      <w:color w:val="984806"/>
    </w:rPr>
  </w:style>
  <w:style w:type="paragraph" w:styleId="IntenseQuote">
    <w:name w:val="Intense Quote"/>
    <w:basedOn w:val="Normal"/>
    <w:next w:val="Normal"/>
    <w:link w:val="IntenseQuoteChar"/>
    <w:uiPriority w:val="30"/>
    <w:qFormat/>
    <w:rsid w:val="00EC2E3E"/>
    <w:pPr>
      <w:pBdr>
        <w:bottom w:val="single" w:sz="4" w:space="4" w:color="4F81BD"/>
      </w:pBdr>
      <w:spacing w:before="200" w:after="280"/>
      <w:ind w:left="936" w:right="936"/>
    </w:pPr>
    <w:rPr>
      <w:b/>
      <w:bCs/>
      <w:i/>
      <w:iCs/>
      <w:color w:val="76923C"/>
      <w:szCs w:val="20"/>
      <w:lang w:val="x-none" w:eastAsia="x-none"/>
    </w:rPr>
  </w:style>
  <w:style w:type="character" w:customStyle="1" w:styleId="IntenseQuoteChar">
    <w:name w:val="Intense Quote Char"/>
    <w:link w:val="IntenseQuote"/>
    <w:uiPriority w:val="30"/>
    <w:rsid w:val="00EC2E3E"/>
    <w:rPr>
      <w:b/>
      <w:bCs/>
      <w:i/>
      <w:iCs/>
      <w:color w:val="76923C"/>
      <w:sz w:val="24"/>
    </w:rPr>
  </w:style>
  <w:style w:type="paragraph" w:styleId="TOC1">
    <w:name w:val="toc 1"/>
    <w:basedOn w:val="Normal"/>
    <w:next w:val="Normal"/>
    <w:autoRedefine/>
    <w:uiPriority w:val="39"/>
    <w:unhideWhenUsed/>
    <w:rsid w:val="00BF020F"/>
    <w:pPr>
      <w:spacing w:after="100"/>
    </w:pPr>
  </w:style>
  <w:style w:type="paragraph" w:styleId="TOC2">
    <w:name w:val="toc 2"/>
    <w:basedOn w:val="Normal"/>
    <w:next w:val="Normal"/>
    <w:autoRedefine/>
    <w:uiPriority w:val="39"/>
    <w:unhideWhenUsed/>
    <w:rsid w:val="00BF020F"/>
    <w:pPr>
      <w:spacing w:after="100"/>
      <w:ind w:left="240"/>
    </w:pPr>
  </w:style>
  <w:style w:type="paragraph" w:styleId="TOC3">
    <w:name w:val="toc 3"/>
    <w:basedOn w:val="Normal"/>
    <w:next w:val="Normal"/>
    <w:autoRedefine/>
    <w:uiPriority w:val="39"/>
    <w:unhideWhenUsed/>
    <w:rsid w:val="00BF020F"/>
    <w:pPr>
      <w:spacing w:after="100"/>
      <w:ind w:left="480"/>
    </w:pPr>
  </w:style>
  <w:style w:type="character" w:styleId="Hyperlink">
    <w:name w:val="Hyperlink"/>
    <w:uiPriority w:val="99"/>
    <w:unhideWhenUsed/>
    <w:rsid w:val="00BF020F"/>
    <w:rPr>
      <w:color w:val="0000FF"/>
      <w:u w:val="single"/>
    </w:rPr>
  </w:style>
  <w:style w:type="paragraph" w:styleId="TableofFigures">
    <w:name w:val="table of figures"/>
    <w:basedOn w:val="Normal"/>
    <w:next w:val="Normal"/>
    <w:uiPriority w:val="99"/>
    <w:unhideWhenUsed/>
    <w:rsid w:val="002D34E9"/>
    <w:pPr>
      <w:spacing w:after="0"/>
    </w:pPr>
  </w:style>
  <w:style w:type="paragraph" w:styleId="FootnoteText">
    <w:name w:val="footnote text"/>
    <w:basedOn w:val="Normal"/>
    <w:link w:val="FootnoteTextChar"/>
    <w:uiPriority w:val="99"/>
    <w:semiHidden/>
    <w:unhideWhenUsed/>
    <w:rsid w:val="005D42D8"/>
    <w:pPr>
      <w:spacing w:after="0" w:line="240" w:lineRule="auto"/>
    </w:pPr>
    <w:rPr>
      <w:sz w:val="20"/>
      <w:szCs w:val="20"/>
      <w:lang w:val="x-none" w:eastAsia="x-none"/>
    </w:rPr>
  </w:style>
  <w:style w:type="character" w:customStyle="1" w:styleId="FootnoteTextChar">
    <w:name w:val="Footnote Text Char"/>
    <w:link w:val="FootnoteText"/>
    <w:uiPriority w:val="99"/>
    <w:semiHidden/>
    <w:rsid w:val="005D42D8"/>
    <w:rPr>
      <w:sz w:val="20"/>
      <w:szCs w:val="20"/>
    </w:rPr>
  </w:style>
  <w:style w:type="character" w:styleId="FootnoteReference">
    <w:name w:val="footnote reference"/>
    <w:uiPriority w:val="99"/>
    <w:semiHidden/>
    <w:unhideWhenUsed/>
    <w:rsid w:val="005D42D8"/>
    <w:rPr>
      <w:vertAlign w:val="superscript"/>
    </w:rPr>
  </w:style>
  <w:style w:type="character" w:styleId="CommentReference">
    <w:name w:val="annotation reference"/>
    <w:uiPriority w:val="99"/>
    <w:semiHidden/>
    <w:unhideWhenUsed/>
    <w:rsid w:val="00C95431"/>
    <w:rPr>
      <w:sz w:val="18"/>
      <w:szCs w:val="18"/>
    </w:rPr>
  </w:style>
  <w:style w:type="paragraph" w:styleId="CommentText">
    <w:name w:val="annotation text"/>
    <w:basedOn w:val="Normal"/>
    <w:link w:val="CommentTextChar"/>
    <w:uiPriority w:val="99"/>
    <w:unhideWhenUsed/>
    <w:rsid w:val="00C95431"/>
    <w:pPr>
      <w:spacing w:line="240" w:lineRule="auto"/>
    </w:pPr>
    <w:rPr>
      <w:szCs w:val="24"/>
      <w:lang w:val="x-none" w:eastAsia="x-none"/>
    </w:rPr>
  </w:style>
  <w:style w:type="character" w:customStyle="1" w:styleId="CommentTextChar">
    <w:name w:val="Comment Text Char"/>
    <w:link w:val="CommentText"/>
    <w:uiPriority w:val="99"/>
    <w:rsid w:val="00C95431"/>
    <w:rPr>
      <w:sz w:val="24"/>
      <w:szCs w:val="24"/>
    </w:rPr>
  </w:style>
  <w:style w:type="paragraph" w:styleId="CommentSubject">
    <w:name w:val="annotation subject"/>
    <w:basedOn w:val="CommentText"/>
    <w:next w:val="CommentText"/>
    <w:link w:val="CommentSubjectChar"/>
    <w:uiPriority w:val="99"/>
    <w:semiHidden/>
    <w:unhideWhenUsed/>
    <w:rsid w:val="00C95431"/>
    <w:rPr>
      <w:b/>
      <w:bCs/>
      <w:sz w:val="20"/>
      <w:szCs w:val="20"/>
    </w:rPr>
  </w:style>
  <w:style w:type="character" w:customStyle="1" w:styleId="CommentSubjectChar">
    <w:name w:val="Comment Subject Char"/>
    <w:link w:val="CommentSubject"/>
    <w:uiPriority w:val="99"/>
    <w:semiHidden/>
    <w:rsid w:val="00C95431"/>
    <w:rPr>
      <w:b/>
      <w:bCs/>
      <w:sz w:val="20"/>
      <w:szCs w:val="20"/>
    </w:rPr>
  </w:style>
  <w:style w:type="paragraph" w:styleId="Quote">
    <w:name w:val="Quote"/>
    <w:basedOn w:val="Normal"/>
    <w:next w:val="Normal"/>
    <w:link w:val="QuoteChar"/>
    <w:uiPriority w:val="29"/>
    <w:qFormat/>
    <w:rsid w:val="00901214"/>
    <w:rPr>
      <w:rFonts w:eastAsia="MS Mincho"/>
      <w:i/>
      <w:iCs/>
      <w:color w:val="000000"/>
      <w:sz w:val="20"/>
      <w:szCs w:val="20"/>
      <w:lang w:val="x-none" w:eastAsia="ja-JP"/>
    </w:rPr>
  </w:style>
  <w:style w:type="character" w:customStyle="1" w:styleId="QuoteChar">
    <w:name w:val="Quote Char"/>
    <w:link w:val="Quote"/>
    <w:uiPriority w:val="29"/>
    <w:rsid w:val="00901214"/>
    <w:rPr>
      <w:rFonts w:eastAsia="MS Mincho"/>
      <w:i/>
      <w:iCs/>
      <w:color w:val="000000"/>
      <w:lang w:eastAsia="ja-JP"/>
    </w:rPr>
  </w:style>
  <w:style w:type="paragraph" w:styleId="NormalWeb">
    <w:name w:val="Normal (Web)"/>
    <w:basedOn w:val="Normal"/>
    <w:uiPriority w:val="99"/>
    <w:unhideWhenUsed/>
    <w:rsid w:val="003002E5"/>
    <w:pPr>
      <w:spacing w:before="100" w:beforeAutospacing="1" w:after="100" w:afterAutospacing="1" w:line="240" w:lineRule="auto"/>
    </w:pPr>
    <w:rPr>
      <w:rFonts w:ascii="Times New Roman" w:eastAsia="MS Mincho" w:hAnsi="Times New Roman"/>
      <w:szCs w:val="24"/>
    </w:rPr>
  </w:style>
  <w:style w:type="paragraph" w:styleId="Caption">
    <w:name w:val="caption"/>
    <w:basedOn w:val="Normal"/>
    <w:next w:val="Normal"/>
    <w:rsid w:val="00F7444C"/>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3044">
      <w:bodyDiv w:val="1"/>
      <w:marLeft w:val="0"/>
      <w:marRight w:val="0"/>
      <w:marTop w:val="0"/>
      <w:marBottom w:val="0"/>
      <w:divBdr>
        <w:top w:val="none" w:sz="0" w:space="0" w:color="auto"/>
        <w:left w:val="none" w:sz="0" w:space="0" w:color="auto"/>
        <w:bottom w:val="none" w:sz="0" w:space="0" w:color="auto"/>
        <w:right w:val="none" w:sz="0" w:space="0" w:color="auto"/>
      </w:divBdr>
    </w:div>
    <w:div w:id="133565795">
      <w:bodyDiv w:val="1"/>
      <w:marLeft w:val="0"/>
      <w:marRight w:val="0"/>
      <w:marTop w:val="0"/>
      <w:marBottom w:val="0"/>
      <w:divBdr>
        <w:top w:val="none" w:sz="0" w:space="0" w:color="auto"/>
        <w:left w:val="none" w:sz="0" w:space="0" w:color="auto"/>
        <w:bottom w:val="none" w:sz="0" w:space="0" w:color="auto"/>
        <w:right w:val="none" w:sz="0" w:space="0" w:color="auto"/>
      </w:divBdr>
    </w:div>
    <w:div w:id="185489433">
      <w:bodyDiv w:val="1"/>
      <w:marLeft w:val="0"/>
      <w:marRight w:val="0"/>
      <w:marTop w:val="0"/>
      <w:marBottom w:val="0"/>
      <w:divBdr>
        <w:top w:val="none" w:sz="0" w:space="0" w:color="auto"/>
        <w:left w:val="none" w:sz="0" w:space="0" w:color="auto"/>
        <w:bottom w:val="none" w:sz="0" w:space="0" w:color="auto"/>
        <w:right w:val="none" w:sz="0" w:space="0" w:color="auto"/>
      </w:divBdr>
    </w:div>
    <w:div w:id="203713087">
      <w:bodyDiv w:val="1"/>
      <w:marLeft w:val="0"/>
      <w:marRight w:val="0"/>
      <w:marTop w:val="0"/>
      <w:marBottom w:val="0"/>
      <w:divBdr>
        <w:top w:val="none" w:sz="0" w:space="0" w:color="auto"/>
        <w:left w:val="none" w:sz="0" w:space="0" w:color="auto"/>
        <w:bottom w:val="none" w:sz="0" w:space="0" w:color="auto"/>
        <w:right w:val="none" w:sz="0" w:space="0" w:color="auto"/>
      </w:divBdr>
    </w:div>
    <w:div w:id="258949252">
      <w:bodyDiv w:val="1"/>
      <w:marLeft w:val="0"/>
      <w:marRight w:val="0"/>
      <w:marTop w:val="0"/>
      <w:marBottom w:val="0"/>
      <w:divBdr>
        <w:top w:val="none" w:sz="0" w:space="0" w:color="auto"/>
        <w:left w:val="none" w:sz="0" w:space="0" w:color="auto"/>
        <w:bottom w:val="none" w:sz="0" w:space="0" w:color="auto"/>
        <w:right w:val="none" w:sz="0" w:space="0" w:color="auto"/>
      </w:divBdr>
    </w:div>
    <w:div w:id="397049711">
      <w:bodyDiv w:val="1"/>
      <w:marLeft w:val="0"/>
      <w:marRight w:val="0"/>
      <w:marTop w:val="0"/>
      <w:marBottom w:val="0"/>
      <w:divBdr>
        <w:top w:val="none" w:sz="0" w:space="0" w:color="auto"/>
        <w:left w:val="none" w:sz="0" w:space="0" w:color="auto"/>
        <w:bottom w:val="none" w:sz="0" w:space="0" w:color="auto"/>
        <w:right w:val="none" w:sz="0" w:space="0" w:color="auto"/>
      </w:divBdr>
    </w:div>
    <w:div w:id="549074791">
      <w:bodyDiv w:val="1"/>
      <w:marLeft w:val="0"/>
      <w:marRight w:val="0"/>
      <w:marTop w:val="0"/>
      <w:marBottom w:val="0"/>
      <w:divBdr>
        <w:top w:val="none" w:sz="0" w:space="0" w:color="auto"/>
        <w:left w:val="none" w:sz="0" w:space="0" w:color="auto"/>
        <w:bottom w:val="none" w:sz="0" w:space="0" w:color="auto"/>
        <w:right w:val="none" w:sz="0" w:space="0" w:color="auto"/>
      </w:divBdr>
    </w:div>
    <w:div w:id="1199271544">
      <w:bodyDiv w:val="1"/>
      <w:marLeft w:val="0"/>
      <w:marRight w:val="0"/>
      <w:marTop w:val="0"/>
      <w:marBottom w:val="0"/>
      <w:divBdr>
        <w:top w:val="none" w:sz="0" w:space="0" w:color="auto"/>
        <w:left w:val="none" w:sz="0" w:space="0" w:color="auto"/>
        <w:bottom w:val="none" w:sz="0" w:space="0" w:color="auto"/>
        <w:right w:val="none" w:sz="0" w:space="0" w:color="auto"/>
      </w:divBdr>
    </w:div>
    <w:div w:id="1291787476">
      <w:bodyDiv w:val="1"/>
      <w:marLeft w:val="0"/>
      <w:marRight w:val="0"/>
      <w:marTop w:val="0"/>
      <w:marBottom w:val="0"/>
      <w:divBdr>
        <w:top w:val="none" w:sz="0" w:space="0" w:color="auto"/>
        <w:left w:val="none" w:sz="0" w:space="0" w:color="auto"/>
        <w:bottom w:val="none" w:sz="0" w:space="0" w:color="auto"/>
        <w:right w:val="none" w:sz="0" w:space="0" w:color="auto"/>
      </w:divBdr>
    </w:div>
    <w:div w:id="1481729834">
      <w:bodyDiv w:val="1"/>
      <w:marLeft w:val="0"/>
      <w:marRight w:val="0"/>
      <w:marTop w:val="0"/>
      <w:marBottom w:val="0"/>
      <w:divBdr>
        <w:top w:val="none" w:sz="0" w:space="0" w:color="auto"/>
        <w:left w:val="none" w:sz="0" w:space="0" w:color="auto"/>
        <w:bottom w:val="none" w:sz="0" w:space="0" w:color="auto"/>
        <w:right w:val="none" w:sz="0" w:space="0" w:color="auto"/>
      </w:divBdr>
    </w:div>
    <w:div w:id="1540581366">
      <w:bodyDiv w:val="1"/>
      <w:marLeft w:val="0"/>
      <w:marRight w:val="0"/>
      <w:marTop w:val="0"/>
      <w:marBottom w:val="0"/>
      <w:divBdr>
        <w:top w:val="none" w:sz="0" w:space="0" w:color="auto"/>
        <w:left w:val="none" w:sz="0" w:space="0" w:color="auto"/>
        <w:bottom w:val="none" w:sz="0" w:space="0" w:color="auto"/>
        <w:right w:val="none" w:sz="0" w:space="0" w:color="auto"/>
      </w:divBdr>
    </w:div>
    <w:div w:id="1597590165">
      <w:bodyDiv w:val="1"/>
      <w:marLeft w:val="0"/>
      <w:marRight w:val="0"/>
      <w:marTop w:val="0"/>
      <w:marBottom w:val="0"/>
      <w:divBdr>
        <w:top w:val="none" w:sz="0" w:space="0" w:color="auto"/>
        <w:left w:val="none" w:sz="0" w:space="0" w:color="auto"/>
        <w:bottom w:val="none" w:sz="0" w:space="0" w:color="auto"/>
        <w:right w:val="none" w:sz="0" w:space="0" w:color="auto"/>
      </w:divBdr>
    </w:div>
    <w:div w:id="1739284034">
      <w:bodyDiv w:val="1"/>
      <w:marLeft w:val="0"/>
      <w:marRight w:val="0"/>
      <w:marTop w:val="0"/>
      <w:marBottom w:val="0"/>
      <w:divBdr>
        <w:top w:val="none" w:sz="0" w:space="0" w:color="auto"/>
        <w:left w:val="none" w:sz="0" w:space="0" w:color="auto"/>
        <w:bottom w:val="none" w:sz="0" w:space="0" w:color="auto"/>
        <w:right w:val="none" w:sz="0" w:space="0" w:color="auto"/>
      </w:divBdr>
    </w:div>
    <w:div w:id="1878397735">
      <w:bodyDiv w:val="1"/>
      <w:marLeft w:val="0"/>
      <w:marRight w:val="0"/>
      <w:marTop w:val="0"/>
      <w:marBottom w:val="0"/>
      <w:divBdr>
        <w:top w:val="none" w:sz="0" w:space="0" w:color="auto"/>
        <w:left w:val="none" w:sz="0" w:space="0" w:color="auto"/>
        <w:bottom w:val="none" w:sz="0" w:space="0" w:color="auto"/>
        <w:right w:val="none" w:sz="0" w:space="0" w:color="auto"/>
      </w:divBdr>
    </w:div>
    <w:div w:id="1879201618">
      <w:bodyDiv w:val="1"/>
      <w:marLeft w:val="0"/>
      <w:marRight w:val="0"/>
      <w:marTop w:val="0"/>
      <w:marBottom w:val="0"/>
      <w:divBdr>
        <w:top w:val="none" w:sz="0" w:space="0" w:color="auto"/>
        <w:left w:val="none" w:sz="0" w:space="0" w:color="auto"/>
        <w:bottom w:val="none" w:sz="0" w:space="0" w:color="auto"/>
        <w:right w:val="none" w:sz="0" w:space="0" w:color="auto"/>
      </w:divBdr>
    </w:div>
    <w:div w:id="19798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65079365079361E-3"/>
          <c:y val="6.8027210884353739E-3"/>
          <c:w val="0.97944038245219345"/>
          <c:h val="0.66681719579573107"/>
        </c:manualLayout>
      </c:layout>
      <c:barChart>
        <c:barDir val="col"/>
        <c:grouping val="clustered"/>
        <c:varyColors val="0"/>
        <c:ser>
          <c:idx val="0"/>
          <c:order val="0"/>
          <c:tx>
            <c:strRef>
              <c:f>Sheet1!$B$1</c:f>
              <c:strCache>
                <c:ptCount val="1"/>
                <c:pt idx="0">
                  <c:v>% of Calls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Female</c:v>
                </c:pt>
                <c:pt idx="1">
                  <c:v>55 &amp; older</c:v>
                </c:pt>
                <c:pt idx="2">
                  <c:v>Married</c:v>
                </c:pt>
                <c:pt idx="3">
                  <c:v>Bachelor's degree or higher</c:v>
                </c:pt>
                <c:pt idx="4">
                  <c:v>Latino</c:v>
                </c:pt>
              </c:strCache>
            </c:strRef>
          </c:cat>
          <c:val>
            <c:numRef>
              <c:f>Sheet1!$B$2:$B$6</c:f>
              <c:numCache>
                <c:formatCode>0%</c:formatCode>
                <c:ptCount val="5"/>
                <c:pt idx="0">
                  <c:v>0.63</c:v>
                </c:pt>
                <c:pt idx="1">
                  <c:v>0.67</c:v>
                </c:pt>
                <c:pt idx="2">
                  <c:v>0.61</c:v>
                </c:pt>
                <c:pt idx="3">
                  <c:v>0.33</c:v>
                </c:pt>
                <c:pt idx="4">
                  <c:v>0.03</c:v>
                </c:pt>
              </c:numCache>
            </c:numRef>
          </c:val>
          <c:extLst>
            <c:ext xmlns:c16="http://schemas.microsoft.com/office/drawing/2014/chart" uri="{C3380CC4-5D6E-409C-BE32-E72D297353CC}">
              <c16:uniqueId val="{00000000-E24F-40B7-A548-19842E4CEE88}"/>
            </c:ext>
          </c:extLst>
        </c:ser>
        <c:ser>
          <c:idx val="1"/>
          <c:order val="1"/>
          <c:tx>
            <c:strRef>
              <c:f>Sheet1!$C$1</c:f>
              <c:strCache>
                <c:ptCount val="1"/>
                <c:pt idx="0">
                  <c:v>% of Population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Female</c:v>
                </c:pt>
                <c:pt idx="1">
                  <c:v>55 &amp; older</c:v>
                </c:pt>
                <c:pt idx="2">
                  <c:v>Married</c:v>
                </c:pt>
                <c:pt idx="3">
                  <c:v>Bachelor's degree or higher</c:v>
                </c:pt>
                <c:pt idx="4">
                  <c:v>Latino</c:v>
                </c:pt>
              </c:strCache>
            </c:strRef>
          </c:cat>
          <c:val>
            <c:numRef>
              <c:f>Sheet1!$C$2:$C$6</c:f>
              <c:numCache>
                <c:formatCode>0%</c:formatCode>
                <c:ptCount val="5"/>
                <c:pt idx="0">
                  <c:v>0.5</c:v>
                </c:pt>
                <c:pt idx="1">
                  <c:v>0.40061909719640071</c:v>
                </c:pt>
                <c:pt idx="2">
                  <c:v>0.52</c:v>
                </c:pt>
                <c:pt idx="3">
                  <c:v>0.18</c:v>
                </c:pt>
                <c:pt idx="4">
                  <c:v>0.08</c:v>
                </c:pt>
              </c:numCache>
            </c:numRef>
          </c:val>
          <c:extLst>
            <c:ext xmlns:c16="http://schemas.microsoft.com/office/drawing/2014/chart" uri="{C3380CC4-5D6E-409C-BE32-E72D297353CC}">
              <c16:uniqueId val="{00000001-E24F-40B7-A548-19842E4CEE88}"/>
            </c:ext>
          </c:extLst>
        </c:ser>
        <c:dLbls>
          <c:showLegendKey val="0"/>
          <c:showVal val="0"/>
          <c:showCatName val="0"/>
          <c:showSerName val="0"/>
          <c:showPercent val="0"/>
          <c:showBubbleSize val="0"/>
        </c:dLbls>
        <c:gapWidth val="219"/>
        <c:overlap val="-27"/>
        <c:axId val="573398976"/>
        <c:axId val="573399960"/>
      </c:barChart>
      <c:catAx>
        <c:axId val="57339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73399960"/>
        <c:crosses val="autoZero"/>
        <c:auto val="1"/>
        <c:lblAlgn val="ctr"/>
        <c:lblOffset val="100"/>
        <c:noMultiLvlLbl val="0"/>
      </c:catAx>
      <c:valAx>
        <c:axId val="573399960"/>
        <c:scaling>
          <c:orientation val="minMax"/>
          <c:max val="1"/>
        </c:scaling>
        <c:delete val="1"/>
        <c:axPos val="l"/>
        <c:numFmt formatCode="0%" sourceLinked="1"/>
        <c:majorTickMark val="out"/>
        <c:minorTickMark val="none"/>
        <c:tickLblPos val="nextTo"/>
        <c:crossAx val="573398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tx>
            <c:strRef>
              <c:f>Sheet1!$B$1</c:f>
              <c:strCache>
                <c:ptCount val="1"/>
                <c:pt idx="0">
                  <c:v>% yes</c:v>
                </c:pt>
              </c:strCache>
            </c:strRef>
          </c:tx>
          <c:spPr>
            <a:solidFill>
              <a:schemeClr val="accent1"/>
            </a:solidFill>
            <a:ln>
              <a:noFill/>
            </a:ln>
            <a:effectLst/>
          </c:spPr>
          <c:invertIfNegative val="0"/>
          <c:dLbls>
            <c:dLbl>
              <c:idx val="0"/>
              <c:layout>
                <c:manualLayout>
                  <c:x val="-0.14814814814814814"/>
                  <c:y val="0"/>
                </c:manualLayout>
              </c:layout>
              <c:spPr>
                <a:noFill/>
                <a:ln>
                  <a:noFill/>
                </a:ln>
                <a:effectLst/>
              </c:spPr>
              <c:txPr>
                <a:bodyPr rot="0" spcFirstLastPara="1" vertOverflow="ellipsis" horzOverflow="clip" vert="horz" wrap="square" lIns="38100" tIns="19050" rIns="38100" bIns="19050" anchor="ctr" anchorCtr="0">
                  <a:noAutofit/>
                </a:bodyPr>
                <a:lstStyle/>
                <a:p>
                  <a:pPr algn="l">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53768518518518515"/>
                      <c:h val="0.43539292882507336"/>
                    </c:manualLayout>
                  </c15:layout>
                </c:ext>
                <c:ext xmlns:c16="http://schemas.microsoft.com/office/drawing/2014/chart" uri="{C3380CC4-5D6E-409C-BE32-E72D297353CC}">
                  <c16:uniqueId val="{00000000-5C7D-46B4-9C9D-4908B6F69E76}"/>
                </c:ext>
              </c:extLst>
            </c:dLbl>
            <c:spPr>
              <a:noFill/>
              <a:ln>
                <a:noFill/>
              </a:ln>
              <a:effectLst/>
            </c:spPr>
            <c:txPr>
              <a:bodyPr rot="0" spcFirstLastPara="1" vertOverflow="ellipsis" vert="horz" wrap="square" lIns="38100" tIns="19050" rIns="38100" bIns="19050" anchor="ctr" anchorCtr="0">
                <a:spAutoFit/>
              </a:bodyPr>
              <a:lstStyle/>
              <a:p>
                <a:pPr algn="l">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Yes</c:v>
                </c:pt>
              </c:strCache>
            </c:strRef>
          </c:cat>
          <c:val>
            <c:numRef>
              <c:f>Sheet1!$B$2</c:f>
              <c:numCache>
                <c:formatCode>0%</c:formatCode>
                <c:ptCount val="1"/>
                <c:pt idx="0">
                  <c:v>0.87</c:v>
                </c:pt>
              </c:numCache>
            </c:numRef>
          </c:val>
          <c:extLst>
            <c:ext xmlns:c16="http://schemas.microsoft.com/office/drawing/2014/chart" uri="{C3380CC4-5D6E-409C-BE32-E72D297353CC}">
              <c16:uniqueId val="{00000001-5C7D-46B4-9C9D-4908B6F69E76}"/>
            </c:ext>
          </c:extLst>
        </c:ser>
        <c:ser>
          <c:idx val="1"/>
          <c:order val="1"/>
          <c:tx>
            <c:strRef>
              <c:f>Sheet1!$C$1</c:f>
              <c:strCache>
                <c:ptCount val="1"/>
                <c:pt idx="0">
                  <c:v>other</c:v>
                </c:pt>
              </c:strCache>
            </c:strRef>
          </c:tx>
          <c:spPr>
            <a:solidFill>
              <a:schemeClr val="bg1">
                <a:lumMod val="85000"/>
              </a:schemeClr>
            </a:solidFill>
            <a:ln>
              <a:noFill/>
            </a:ln>
            <a:effectLst/>
          </c:spPr>
          <c:invertIfNegative val="0"/>
          <c:cat>
            <c:strRef>
              <c:f>Sheet1!$A$2</c:f>
              <c:strCache>
                <c:ptCount val="1"/>
                <c:pt idx="0">
                  <c:v>% Yes</c:v>
                </c:pt>
              </c:strCache>
            </c:strRef>
          </c:cat>
          <c:val>
            <c:numRef>
              <c:f>Sheet1!$C$2</c:f>
              <c:numCache>
                <c:formatCode>0%</c:formatCode>
                <c:ptCount val="1"/>
                <c:pt idx="0">
                  <c:v>0.13</c:v>
                </c:pt>
              </c:numCache>
            </c:numRef>
          </c:val>
          <c:extLst>
            <c:ext xmlns:c16="http://schemas.microsoft.com/office/drawing/2014/chart" uri="{C3380CC4-5D6E-409C-BE32-E72D297353CC}">
              <c16:uniqueId val="{00000002-5C7D-46B4-9C9D-4908B6F69E76}"/>
            </c:ext>
          </c:extLst>
        </c:ser>
        <c:dLbls>
          <c:showLegendKey val="0"/>
          <c:showVal val="0"/>
          <c:showCatName val="0"/>
          <c:showSerName val="0"/>
          <c:showPercent val="0"/>
          <c:showBubbleSize val="0"/>
        </c:dLbls>
        <c:gapWidth val="182"/>
        <c:overlap val="100"/>
        <c:axId val="487469912"/>
        <c:axId val="487470240"/>
      </c:barChart>
      <c:catAx>
        <c:axId val="487469912"/>
        <c:scaling>
          <c:orientation val="minMax"/>
        </c:scaling>
        <c:delete val="1"/>
        <c:axPos val="l"/>
        <c:numFmt formatCode="General" sourceLinked="1"/>
        <c:majorTickMark val="out"/>
        <c:minorTickMark val="none"/>
        <c:tickLblPos val="nextTo"/>
        <c:crossAx val="487470240"/>
        <c:crosses val="autoZero"/>
        <c:auto val="1"/>
        <c:lblAlgn val="ctr"/>
        <c:lblOffset val="100"/>
        <c:noMultiLvlLbl val="0"/>
      </c:catAx>
      <c:valAx>
        <c:axId val="487470240"/>
        <c:scaling>
          <c:orientation val="minMax"/>
          <c:max val="1"/>
          <c:min val="0"/>
        </c:scaling>
        <c:delete val="1"/>
        <c:axPos val="b"/>
        <c:numFmt formatCode="0%" sourceLinked="1"/>
        <c:majorTickMark val="out"/>
        <c:minorTickMark val="none"/>
        <c:tickLblPos val="nextTo"/>
        <c:crossAx val="48746991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tx>
            <c:strRef>
              <c:f>Sheet1!$B$1</c:f>
              <c:strCache>
                <c:ptCount val="1"/>
                <c:pt idx="0">
                  <c:v>% yes</c:v>
                </c:pt>
              </c:strCache>
            </c:strRef>
          </c:tx>
          <c:spPr>
            <a:solidFill>
              <a:schemeClr val="accent1"/>
            </a:solidFill>
            <a:ln>
              <a:noFill/>
            </a:ln>
            <a:effectLst/>
          </c:spPr>
          <c:invertIfNegative val="0"/>
          <c:dLbls>
            <c:dLbl>
              <c:idx val="0"/>
              <c:layout>
                <c:manualLayout>
                  <c:x val="-0.14814814814814814"/>
                  <c:y val="0"/>
                </c:manualLayout>
              </c:layout>
              <c:spPr>
                <a:noFill/>
                <a:ln>
                  <a:noFill/>
                </a:ln>
                <a:effectLst/>
              </c:spPr>
              <c:txPr>
                <a:bodyPr rot="0" spcFirstLastPara="1" vertOverflow="ellipsis" horzOverflow="clip" vert="horz" wrap="square" lIns="38100" tIns="19050" rIns="38100" bIns="19050" anchor="ctr" anchorCtr="0">
                  <a:noAutofit/>
                </a:bodyPr>
                <a:lstStyle/>
                <a:p>
                  <a:pPr algn="l">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53768518518518515"/>
                      <c:h val="0.43539292882507336"/>
                    </c:manualLayout>
                  </c15:layout>
                </c:ext>
                <c:ext xmlns:c16="http://schemas.microsoft.com/office/drawing/2014/chart" uri="{C3380CC4-5D6E-409C-BE32-E72D297353CC}">
                  <c16:uniqueId val="{00000000-F3A1-4233-BAB0-2E7807C9B6D1}"/>
                </c:ext>
              </c:extLst>
            </c:dLbl>
            <c:spPr>
              <a:noFill/>
              <a:ln>
                <a:noFill/>
              </a:ln>
              <a:effectLst/>
            </c:spPr>
            <c:txPr>
              <a:bodyPr rot="0" spcFirstLastPara="1" vertOverflow="ellipsis" vert="horz" wrap="square" lIns="38100" tIns="19050" rIns="38100" bIns="19050" anchor="ctr" anchorCtr="0">
                <a:spAutoFit/>
              </a:bodyPr>
              <a:lstStyle/>
              <a:p>
                <a:pPr algn="l">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Yes</c:v>
                </c:pt>
              </c:strCache>
            </c:strRef>
          </c:cat>
          <c:val>
            <c:numRef>
              <c:f>Sheet1!$B$2</c:f>
              <c:numCache>
                <c:formatCode>0%</c:formatCode>
                <c:ptCount val="1"/>
                <c:pt idx="0">
                  <c:v>0.84</c:v>
                </c:pt>
              </c:numCache>
            </c:numRef>
          </c:val>
          <c:extLst>
            <c:ext xmlns:c16="http://schemas.microsoft.com/office/drawing/2014/chart" uri="{C3380CC4-5D6E-409C-BE32-E72D297353CC}">
              <c16:uniqueId val="{00000001-F3A1-4233-BAB0-2E7807C9B6D1}"/>
            </c:ext>
          </c:extLst>
        </c:ser>
        <c:ser>
          <c:idx val="1"/>
          <c:order val="1"/>
          <c:tx>
            <c:strRef>
              <c:f>Sheet1!$C$1</c:f>
              <c:strCache>
                <c:ptCount val="1"/>
                <c:pt idx="0">
                  <c:v>other</c:v>
                </c:pt>
              </c:strCache>
            </c:strRef>
          </c:tx>
          <c:spPr>
            <a:solidFill>
              <a:schemeClr val="bg1">
                <a:lumMod val="85000"/>
              </a:schemeClr>
            </a:solidFill>
            <a:ln>
              <a:noFill/>
            </a:ln>
            <a:effectLst/>
          </c:spPr>
          <c:invertIfNegative val="0"/>
          <c:cat>
            <c:strRef>
              <c:f>Sheet1!$A$2</c:f>
              <c:strCache>
                <c:ptCount val="1"/>
                <c:pt idx="0">
                  <c:v>% Yes</c:v>
                </c:pt>
              </c:strCache>
            </c:strRef>
          </c:cat>
          <c:val>
            <c:numRef>
              <c:f>Sheet1!$C$2</c:f>
              <c:numCache>
                <c:formatCode>0%</c:formatCode>
                <c:ptCount val="1"/>
                <c:pt idx="0">
                  <c:v>0.16</c:v>
                </c:pt>
              </c:numCache>
            </c:numRef>
          </c:val>
          <c:extLst>
            <c:ext xmlns:c16="http://schemas.microsoft.com/office/drawing/2014/chart" uri="{C3380CC4-5D6E-409C-BE32-E72D297353CC}">
              <c16:uniqueId val="{00000002-F3A1-4233-BAB0-2E7807C9B6D1}"/>
            </c:ext>
          </c:extLst>
        </c:ser>
        <c:dLbls>
          <c:showLegendKey val="0"/>
          <c:showVal val="0"/>
          <c:showCatName val="0"/>
          <c:showSerName val="0"/>
          <c:showPercent val="0"/>
          <c:showBubbleSize val="0"/>
        </c:dLbls>
        <c:gapWidth val="182"/>
        <c:overlap val="100"/>
        <c:axId val="487469912"/>
        <c:axId val="487470240"/>
      </c:barChart>
      <c:catAx>
        <c:axId val="487469912"/>
        <c:scaling>
          <c:orientation val="minMax"/>
        </c:scaling>
        <c:delete val="1"/>
        <c:axPos val="l"/>
        <c:numFmt formatCode="General" sourceLinked="1"/>
        <c:majorTickMark val="out"/>
        <c:minorTickMark val="none"/>
        <c:tickLblPos val="nextTo"/>
        <c:crossAx val="487470240"/>
        <c:crosses val="autoZero"/>
        <c:auto val="1"/>
        <c:lblAlgn val="ctr"/>
        <c:lblOffset val="100"/>
        <c:noMultiLvlLbl val="0"/>
      </c:catAx>
      <c:valAx>
        <c:axId val="487470240"/>
        <c:scaling>
          <c:orientation val="minMax"/>
          <c:max val="1"/>
          <c:min val="0"/>
        </c:scaling>
        <c:delete val="1"/>
        <c:axPos val="b"/>
        <c:numFmt formatCode="0%" sourceLinked="1"/>
        <c:majorTickMark val="out"/>
        <c:minorTickMark val="none"/>
        <c:tickLblPos val="nextTo"/>
        <c:crossAx val="48746991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tx>
            <c:strRef>
              <c:f>Sheet1!$B$1</c:f>
              <c:strCache>
                <c:ptCount val="1"/>
                <c:pt idx="0">
                  <c:v>% yes</c:v>
                </c:pt>
              </c:strCache>
            </c:strRef>
          </c:tx>
          <c:spPr>
            <a:solidFill>
              <a:schemeClr val="accent1"/>
            </a:solidFill>
            <a:ln>
              <a:noFill/>
            </a:ln>
            <a:effectLst/>
          </c:spPr>
          <c:invertIfNegative val="0"/>
          <c:dLbls>
            <c:dLbl>
              <c:idx val="0"/>
              <c:layout>
                <c:manualLayout>
                  <c:x val="-0.14814814814814814"/>
                  <c:y val="0"/>
                </c:manualLayout>
              </c:layout>
              <c:spPr>
                <a:noFill/>
                <a:ln>
                  <a:noFill/>
                </a:ln>
                <a:effectLst/>
              </c:spPr>
              <c:txPr>
                <a:bodyPr rot="0" spcFirstLastPara="1" vertOverflow="ellipsis" horzOverflow="clip" vert="horz" wrap="square" lIns="38100" tIns="19050" rIns="38100" bIns="19050" anchor="ctr" anchorCtr="0">
                  <a:noAutofit/>
                </a:bodyPr>
                <a:lstStyle/>
                <a:p>
                  <a:pPr algn="l">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53768518518518515"/>
                      <c:h val="0.43539292882507336"/>
                    </c:manualLayout>
                  </c15:layout>
                </c:ext>
                <c:ext xmlns:c16="http://schemas.microsoft.com/office/drawing/2014/chart" uri="{C3380CC4-5D6E-409C-BE32-E72D297353CC}">
                  <c16:uniqueId val="{00000000-5FF7-4AB3-A0DD-6D749DF733FE}"/>
                </c:ext>
              </c:extLst>
            </c:dLbl>
            <c:spPr>
              <a:noFill/>
              <a:ln>
                <a:noFill/>
              </a:ln>
              <a:effectLst/>
            </c:spPr>
            <c:txPr>
              <a:bodyPr rot="0" spcFirstLastPara="1" vertOverflow="ellipsis" vert="horz" wrap="square" lIns="38100" tIns="19050" rIns="38100" bIns="19050" anchor="ctr" anchorCtr="0">
                <a:spAutoFit/>
              </a:bodyPr>
              <a:lstStyle/>
              <a:p>
                <a:pPr algn="l">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Yes</c:v>
                </c:pt>
              </c:strCache>
            </c:strRef>
          </c:cat>
          <c:val>
            <c:numRef>
              <c:f>Sheet1!$B$2</c:f>
              <c:numCache>
                <c:formatCode>0%</c:formatCode>
                <c:ptCount val="1"/>
                <c:pt idx="0">
                  <c:v>0.82</c:v>
                </c:pt>
              </c:numCache>
            </c:numRef>
          </c:val>
          <c:extLst>
            <c:ext xmlns:c16="http://schemas.microsoft.com/office/drawing/2014/chart" uri="{C3380CC4-5D6E-409C-BE32-E72D297353CC}">
              <c16:uniqueId val="{00000001-5FF7-4AB3-A0DD-6D749DF733FE}"/>
            </c:ext>
          </c:extLst>
        </c:ser>
        <c:ser>
          <c:idx val="1"/>
          <c:order val="1"/>
          <c:tx>
            <c:strRef>
              <c:f>Sheet1!$C$1</c:f>
              <c:strCache>
                <c:ptCount val="1"/>
                <c:pt idx="0">
                  <c:v>other</c:v>
                </c:pt>
              </c:strCache>
            </c:strRef>
          </c:tx>
          <c:spPr>
            <a:solidFill>
              <a:schemeClr val="bg1">
                <a:lumMod val="85000"/>
              </a:schemeClr>
            </a:solidFill>
            <a:ln>
              <a:noFill/>
            </a:ln>
            <a:effectLst/>
          </c:spPr>
          <c:invertIfNegative val="0"/>
          <c:cat>
            <c:strRef>
              <c:f>Sheet1!$A$2</c:f>
              <c:strCache>
                <c:ptCount val="1"/>
                <c:pt idx="0">
                  <c:v>% Yes</c:v>
                </c:pt>
              </c:strCache>
            </c:strRef>
          </c:cat>
          <c:val>
            <c:numRef>
              <c:f>Sheet1!$C$2</c:f>
              <c:numCache>
                <c:formatCode>0%</c:formatCode>
                <c:ptCount val="1"/>
                <c:pt idx="0">
                  <c:v>0.18</c:v>
                </c:pt>
              </c:numCache>
            </c:numRef>
          </c:val>
          <c:extLst>
            <c:ext xmlns:c16="http://schemas.microsoft.com/office/drawing/2014/chart" uri="{C3380CC4-5D6E-409C-BE32-E72D297353CC}">
              <c16:uniqueId val="{00000002-5FF7-4AB3-A0DD-6D749DF733FE}"/>
            </c:ext>
          </c:extLst>
        </c:ser>
        <c:dLbls>
          <c:showLegendKey val="0"/>
          <c:showVal val="0"/>
          <c:showCatName val="0"/>
          <c:showSerName val="0"/>
          <c:showPercent val="0"/>
          <c:showBubbleSize val="0"/>
        </c:dLbls>
        <c:gapWidth val="182"/>
        <c:overlap val="100"/>
        <c:axId val="487469912"/>
        <c:axId val="487470240"/>
      </c:barChart>
      <c:catAx>
        <c:axId val="487469912"/>
        <c:scaling>
          <c:orientation val="minMax"/>
        </c:scaling>
        <c:delete val="1"/>
        <c:axPos val="l"/>
        <c:numFmt formatCode="General" sourceLinked="1"/>
        <c:majorTickMark val="out"/>
        <c:minorTickMark val="none"/>
        <c:tickLblPos val="nextTo"/>
        <c:crossAx val="487470240"/>
        <c:crosses val="autoZero"/>
        <c:auto val="1"/>
        <c:lblAlgn val="ctr"/>
        <c:lblOffset val="100"/>
        <c:noMultiLvlLbl val="0"/>
      </c:catAx>
      <c:valAx>
        <c:axId val="487470240"/>
        <c:scaling>
          <c:orientation val="minMax"/>
          <c:max val="1"/>
          <c:min val="0"/>
        </c:scaling>
        <c:delete val="1"/>
        <c:axPos val="b"/>
        <c:numFmt formatCode="0%" sourceLinked="1"/>
        <c:majorTickMark val="out"/>
        <c:minorTickMark val="none"/>
        <c:tickLblPos val="nextTo"/>
        <c:crossAx val="48746991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917658843369223E-2"/>
          <c:y val="0"/>
          <c:w val="0.96808234115663083"/>
          <c:h val="1"/>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AA9F-4956-AEA5-CDA2F747AE40}"/>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3-AA9F-4956-AEA5-CDA2F747AE4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a reason</c:v>
                </c:pt>
                <c:pt idx="1">
                  <c:v>Small reason</c:v>
                </c:pt>
                <c:pt idx="2">
                  <c:v>Big reason</c:v>
                </c:pt>
              </c:strCache>
            </c:strRef>
          </c:cat>
          <c:val>
            <c:numRef>
              <c:f>Sheet1!$B$2:$B$4</c:f>
              <c:numCache>
                <c:formatCode>0%</c:formatCode>
                <c:ptCount val="3"/>
                <c:pt idx="0">
                  <c:v>0.42</c:v>
                </c:pt>
                <c:pt idx="1">
                  <c:v>0.26</c:v>
                </c:pt>
                <c:pt idx="2">
                  <c:v>0.28999999999999998</c:v>
                </c:pt>
              </c:numCache>
            </c:numRef>
          </c:val>
          <c:extLst>
            <c:ext xmlns:c16="http://schemas.microsoft.com/office/drawing/2014/chart" uri="{C3380CC4-5D6E-409C-BE32-E72D297353CC}">
              <c16:uniqueId val="{00000004-AA9F-4956-AEA5-CDA2F747AE40}"/>
            </c:ext>
          </c:extLst>
        </c:ser>
        <c:dLbls>
          <c:showLegendKey val="0"/>
          <c:showVal val="0"/>
          <c:showCatName val="0"/>
          <c:showSerName val="0"/>
          <c:showPercent val="0"/>
          <c:showBubbleSize val="0"/>
        </c:dLbls>
        <c:gapWidth val="219"/>
        <c:overlap val="-27"/>
        <c:axId val="520239808"/>
        <c:axId val="520237840"/>
      </c:barChart>
      <c:catAx>
        <c:axId val="520239808"/>
        <c:scaling>
          <c:orientation val="minMax"/>
        </c:scaling>
        <c:delete val="1"/>
        <c:axPos val="b"/>
        <c:numFmt formatCode="General" sourceLinked="1"/>
        <c:majorTickMark val="none"/>
        <c:minorTickMark val="none"/>
        <c:tickLblPos val="nextTo"/>
        <c:crossAx val="520237840"/>
        <c:crosses val="autoZero"/>
        <c:auto val="1"/>
        <c:lblAlgn val="ctr"/>
        <c:lblOffset val="100"/>
        <c:noMultiLvlLbl val="0"/>
      </c:catAx>
      <c:valAx>
        <c:axId val="520237840"/>
        <c:scaling>
          <c:orientation val="minMax"/>
          <c:max val="1"/>
        </c:scaling>
        <c:delete val="1"/>
        <c:axPos val="l"/>
        <c:numFmt formatCode="0%" sourceLinked="1"/>
        <c:majorTickMark val="out"/>
        <c:minorTickMark val="none"/>
        <c:tickLblPos val="nextTo"/>
        <c:crossAx val="520239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30694713885437E-3"/>
          <c:y val="0"/>
          <c:w val="0.9922369305286115"/>
          <c:h val="1"/>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4360-43C2-B523-7D53F7D71A81}"/>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3-4360-43C2-B523-7D53F7D71A8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a reason</c:v>
                </c:pt>
                <c:pt idx="1">
                  <c:v>Small reason</c:v>
                </c:pt>
                <c:pt idx="2">
                  <c:v>Big reason</c:v>
                </c:pt>
              </c:strCache>
            </c:strRef>
          </c:cat>
          <c:val>
            <c:numRef>
              <c:f>Sheet1!$B$2:$B$4</c:f>
              <c:numCache>
                <c:formatCode>0%</c:formatCode>
                <c:ptCount val="3"/>
                <c:pt idx="0">
                  <c:v>0.47</c:v>
                </c:pt>
                <c:pt idx="1">
                  <c:v>0.24</c:v>
                </c:pt>
                <c:pt idx="2">
                  <c:v>0.24</c:v>
                </c:pt>
              </c:numCache>
            </c:numRef>
          </c:val>
          <c:extLst>
            <c:ext xmlns:c16="http://schemas.microsoft.com/office/drawing/2014/chart" uri="{C3380CC4-5D6E-409C-BE32-E72D297353CC}">
              <c16:uniqueId val="{00000004-4360-43C2-B523-7D53F7D71A81}"/>
            </c:ext>
          </c:extLst>
        </c:ser>
        <c:dLbls>
          <c:showLegendKey val="0"/>
          <c:showVal val="0"/>
          <c:showCatName val="0"/>
          <c:showSerName val="0"/>
          <c:showPercent val="0"/>
          <c:showBubbleSize val="0"/>
        </c:dLbls>
        <c:gapWidth val="219"/>
        <c:overlap val="-27"/>
        <c:axId val="520239808"/>
        <c:axId val="520237840"/>
      </c:barChart>
      <c:catAx>
        <c:axId val="520239808"/>
        <c:scaling>
          <c:orientation val="minMax"/>
        </c:scaling>
        <c:delete val="1"/>
        <c:axPos val="b"/>
        <c:numFmt formatCode="General" sourceLinked="1"/>
        <c:majorTickMark val="none"/>
        <c:minorTickMark val="none"/>
        <c:tickLblPos val="nextTo"/>
        <c:crossAx val="520237840"/>
        <c:crosses val="autoZero"/>
        <c:auto val="1"/>
        <c:lblAlgn val="ctr"/>
        <c:lblOffset val="100"/>
        <c:noMultiLvlLbl val="0"/>
      </c:catAx>
      <c:valAx>
        <c:axId val="520237840"/>
        <c:scaling>
          <c:orientation val="minMax"/>
          <c:max val="1"/>
        </c:scaling>
        <c:delete val="1"/>
        <c:axPos val="l"/>
        <c:numFmt formatCode="0%" sourceLinked="1"/>
        <c:majorTickMark val="out"/>
        <c:minorTickMark val="none"/>
        <c:tickLblPos val="nextTo"/>
        <c:crossAx val="520239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4FBC-4979-9EFE-40BCC915BFA2}"/>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3-4FBC-4979-9EFE-40BCC915BFA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a reason</c:v>
                </c:pt>
                <c:pt idx="1">
                  <c:v>Small reason</c:v>
                </c:pt>
                <c:pt idx="2">
                  <c:v>Big reason</c:v>
                </c:pt>
              </c:strCache>
            </c:strRef>
          </c:cat>
          <c:val>
            <c:numRef>
              <c:f>Sheet1!$B$2:$B$4</c:f>
              <c:numCache>
                <c:formatCode>0%</c:formatCode>
                <c:ptCount val="3"/>
                <c:pt idx="0">
                  <c:v>0.5</c:v>
                </c:pt>
                <c:pt idx="1">
                  <c:v>0.28000000000000003</c:v>
                </c:pt>
                <c:pt idx="2">
                  <c:v>0.16</c:v>
                </c:pt>
              </c:numCache>
            </c:numRef>
          </c:val>
          <c:extLst>
            <c:ext xmlns:c16="http://schemas.microsoft.com/office/drawing/2014/chart" uri="{C3380CC4-5D6E-409C-BE32-E72D297353CC}">
              <c16:uniqueId val="{00000004-4FBC-4979-9EFE-40BCC915BFA2}"/>
            </c:ext>
          </c:extLst>
        </c:ser>
        <c:dLbls>
          <c:showLegendKey val="0"/>
          <c:showVal val="0"/>
          <c:showCatName val="0"/>
          <c:showSerName val="0"/>
          <c:showPercent val="0"/>
          <c:showBubbleSize val="0"/>
        </c:dLbls>
        <c:gapWidth val="219"/>
        <c:overlap val="-27"/>
        <c:axId val="520239808"/>
        <c:axId val="520237840"/>
      </c:barChart>
      <c:catAx>
        <c:axId val="520239808"/>
        <c:scaling>
          <c:orientation val="minMax"/>
        </c:scaling>
        <c:delete val="1"/>
        <c:axPos val="b"/>
        <c:numFmt formatCode="General" sourceLinked="1"/>
        <c:majorTickMark val="none"/>
        <c:minorTickMark val="none"/>
        <c:tickLblPos val="nextTo"/>
        <c:crossAx val="520237840"/>
        <c:crosses val="autoZero"/>
        <c:auto val="1"/>
        <c:lblAlgn val="ctr"/>
        <c:lblOffset val="100"/>
        <c:noMultiLvlLbl val="0"/>
      </c:catAx>
      <c:valAx>
        <c:axId val="520237840"/>
        <c:scaling>
          <c:orientation val="minMax"/>
          <c:max val="1"/>
        </c:scaling>
        <c:delete val="1"/>
        <c:axPos val="l"/>
        <c:numFmt formatCode="0%" sourceLinked="1"/>
        <c:majorTickMark val="out"/>
        <c:minorTickMark val="none"/>
        <c:tickLblPos val="nextTo"/>
        <c:crossAx val="520239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932019367144325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C208-4D63-8065-440B2EC619E9}"/>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3-C208-4D63-8065-440B2EC619E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a reason</c:v>
                </c:pt>
                <c:pt idx="1">
                  <c:v>Small reason</c:v>
                </c:pt>
                <c:pt idx="2">
                  <c:v>Big reason</c:v>
                </c:pt>
              </c:strCache>
            </c:strRef>
          </c:cat>
          <c:val>
            <c:numRef>
              <c:f>Sheet1!$B$2:$B$4</c:f>
              <c:numCache>
                <c:formatCode>0%</c:formatCode>
                <c:ptCount val="3"/>
                <c:pt idx="0">
                  <c:v>0.47</c:v>
                </c:pt>
                <c:pt idx="1">
                  <c:v>0.24</c:v>
                </c:pt>
                <c:pt idx="2">
                  <c:v>0.24</c:v>
                </c:pt>
              </c:numCache>
            </c:numRef>
          </c:val>
          <c:extLst>
            <c:ext xmlns:c16="http://schemas.microsoft.com/office/drawing/2014/chart" uri="{C3380CC4-5D6E-409C-BE32-E72D297353CC}">
              <c16:uniqueId val="{00000004-C208-4D63-8065-440B2EC619E9}"/>
            </c:ext>
          </c:extLst>
        </c:ser>
        <c:dLbls>
          <c:showLegendKey val="0"/>
          <c:showVal val="0"/>
          <c:showCatName val="0"/>
          <c:showSerName val="0"/>
          <c:showPercent val="0"/>
          <c:showBubbleSize val="0"/>
        </c:dLbls>
        <c:gapWidth val="219"/>
        <c:overlap val="-27"/>
        <c:axId val="520239808"/>
        <c:axId val="520237840"/>
      </c:barChart>
      <c:catAx>
        <c:axId val="520239808"/>
        <c:scaling>
          <c:orientation val="minMax"/>
        </c:scaling>
        <c:delete val="1"/>
        <c:axPos val="b"/>
        <c:numFmt formatCode="General" sourceLinked="1"/>
        <c:majorTickMark val="none"/>
        <c:minorTickMark val="none"/>
        <c:tickLblPos val="nextTo"/>
        <c:crossAx val="520237840"/>
        <c:crosses val="autoZero"/>
        <c:auto val="1"/>
        <c:lblAlgn val="ctr"/>
        <c:lblOffset val="100"/>
        <c:noMultiLvlLbl val="0"/>
      </c:catAx>
      <c:valAx>
        <c:axId val="520237840"/>
        <c:scaling>
          <c:orientation val="minMax"/>
          <c:max val="1"/>
        </c:scaling>
        <c:delete val="1"/>
        <c:axPos val="l"/>
        <c:numFmt formatCode="0%" sourceLinked="1"/>
        <c:majorTickMark val="none"/>
        <c:minorTickMark val="none"/>
        <c:tickLblPos val="nextTo"/>
        <c:crossAx val="520239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0B91-4BEE-9208-B99E440BE8B1}"/>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3-0B91-4BEE-9208-B99E440BE8B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a reason</c:v>
                </c:pt>
                <c:pt idx="1">
                  <c:v>Small reason</c:v>
                </c:pt>
                <c:pt idx="2">
                  <c:v>Big reason</c:v>
                </c:pt>
              </c:strCache>
            </c:strRef>
          </c:cat>
          <c:val>
            <c:numRef>
              <c:f>Sheet1!$B$2:$B$4</c:f>
              <c:numCache>
                <c:formatCode>0%</c:formatCode>
                <c:ptCount val="3"/>
                <c:pt idx="0">
                  <c:v>0.37</c:v>
                </c:pt>
                <c:pt idx="1">
                  <c:v>0.28999999999999998</c:v>
                </c:pt>
                <c:pt idx="2">
                  <c:v>0.28000000000000003</c:v>
                </c:pt>
              </c:numCache>
            </c:numRef>
          </c:val>
          <c:extLst>
            <c:ext xmlns:c16="http://schemas.microsoft.com/office/drawing/2014/chart" uri="{C3380CC4-5D6E-409C-BE32-E72D297353CC}">
              <c16:uniqueId val="{00000004-0B91-4BEE-9208-B99E440BE8B1}"/>
            </c:ext>
          </c:extLst>
        </c:ser>
        <c:dLbls>
          <c:showLegendKey val="0"/>
          <c:showVal val="0"/>
          <c:showCatName val="0"/>
          <c:showSerName val="0"/>
          <c:showPercent val="0"/>
          <c:showBubbleSize val="0"/>
        </c:dLbls>
        <c:gapWidth val="219"/>
        <c:overlap val="-27"/>
        <c:axId val="520239808"/>
        <c:axId val="520237840"/>
      </c:barChart>
      <c:catAx>
        <c:axId val="520239808"/>
        <c:scaling>
          <c:orientation val="minMax"/>
        </c:scaling>
        <c:delete val="1"/>
        <c:axPos val="b"/>
        <c:numFmt formatCode="General" sourceLinked="1"/>
        <c:majorTickMark val="none"/>
        <c:minorTickMark val="none"/>
        <c:tickLblPos val="nextTo"/>
        <c:crossAx val="520237840"/>
        <c:crosses val="autoZero"/>
        <c:auto val="1"/>
        <c:lblAlgn val="ctr"/>
        <c:lblOffset val="100"/>
        <c:noMultiLvlLbl val="0"/>
      </c:catAx>
      <c:valAx>
        <c:axId val="520237840"/>
        <c:scaling>
          <c:orientation val="minMax"/>
          <c:max val="1"/>
        </c:scaling>
        <c:delete val="1"/>
        <c:axPos val="l"/>
        <c:numFmt formatCode="0%" sourceLinked="1"/>
        <c:majorTickMark val="none"/>
        <c:minorTickMark val="none"/>
        <c:tickLblPos val="nextTo"/>
        <c:crossAx val="52023980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19ED-380D-4F46-8AFA-6BB8468B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4605</CharactersWithSpaces>
  <SharedDoc>false</SharedDoc>
  <HLinks>
    <vt:vector size="6" baseType="variant">
      <vt:variant>
        <vt:i4>4653080</vt:i4>
      </vt:variant>
      <vt:variant>
        <vt:i4>-1</vt:i4>
      </vt:variant>
      <vt:variant>
        <vt:i4>1026</vt:i4>
      </vt:variant>
      <vt:variant>
        <vt:i4>1</vt:i4>
      </vt:variant>
      <vt:variant>
        <vt:lpwstr>https://familysearch.org/wiki/en/images/thumb/8/80/Siskiyou_County_in_California.png/200px-Siskiyou_County_in_California.png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woodchuck</dc:creator>
  <cp:keywords/>
  <cp:lastModifiedBy>Callie Lambarth</cp:lastModifiedBy>
  <cp:revision>5</cp:revision>
  <cp:lastPrinted>2019-09-18T15:38:00Z</cp:lastPrinted>
  <dcterms:created xsi:type="dcterms:W3CDTF">2019-09-18T15:38:00Z</dcterms:created>
  <dcterms:modified xsi:type="dcterms:W3CDTF">2019-09-18T16:22:00Z</dcterms:modified>
</cp:coreProperties>
</file>