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3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240"/>
        <w:gridCol w:w="3960"/>
      </w:tblGrid>
      <w:tr w:rsidR="0033630E" w:rsidRPr="00C85F0E" w:rsidTr="000D2861">
        <w:trPr>
          <w:trHeight w:val="260"/>
        </w:trPr>
        <w:tc>
          <w:tcPr>
            <w:tcW w:w="30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3060" w:type="dxa"/>
            <w:shd w:val="clear" w:color="auto" w:fill="EEECE1" w:themeFill="background2"/>
          </w:tcPr>
          <w:p w:rsidR="0033630E" w:rsidRPr="00C85F0E" w:rsidRDefault="008957E5" w:rsidP="003363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 received from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Feedback</w:t>
            </w:r>
          </w:p>
        </w:tc>
        <w:tc>
          <w:tcPr>
            <w:tcW w:w="39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Therefore, next steps</w:t>
            </w:r>
          </w:p>
        </w:tc>
      </w:tr>
      <w:tr w:rsidR="0033630E" w:rsidRPr="00C85F0E" w:rsidTr="0033630E">
        <w:trPr>
          <w:trHeight w:val="1241"/>
        </w:trPr>
        <w:tc>
          <w:tcPr>
            <w:tcW w:w="3060" w:type="dxa"/>
          </w:tcPr>
          <w:p w:rsidR="000D2861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0D2861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33630E" w:rsidRPr="000D2861" w:rsidRDefault="0033630E" w:rsidP="000D2861">
            <w:pPr>
              <w:spacing w:after="240"/>
              <w:jc w:val="center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0D2861">
              <w:rPr>
                <w:sz w:val="20"/>
                <w:szCs w:val="20"/>
              </w:rPr>
              <w:t>Family Engagement Methodology</w:t>
            </w:r>
          </w:p>
        </w:tc>
        <w:tc>
          <w:tcPr>
            <w:tcW w:w="3060" w:type="dxa"/>
          </w:tcPr>
          <w:p w:rsidR="0033630E" w:rsidRPr="00C85F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Families – 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>Oregon Family Support Network (</w:t>
            </w: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t>OFSN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>), Oregon Center for Children and Youth with Special Health Needs (OCCYSHN)</w:t>
            </w:r>
          </w:p>
          <w:p w:rsidR="003363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t>National Impact Grant TA</w:t>
            </w:r>
          </w:p>
          <w:p w:rsidR="003363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ELD Community Engagement Staff</w:t>
            </w:r>
          </w:p>
          <w:p w:rsidR="003363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t>I/T Workgroup</w:t>
            </w:r>
          </w:p>
          <w:p w:rsidR="0033630E" w:rsidRPr="00C85F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Research partners </w:t>
            </w:r>
          </w:p>
        </w:tc>
        <w:tc>
          <w:tcPr>
            <w:tcW w:w="3240" w:type="dxa"/>
          </w:tcPr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000000"/>
                <w:sz w:val="18"/>
                <w:szCs w:val="18"/>
              </w:rPr>
              <w:t>Face to face is most responsive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; better route for engaging families furthest from opportunity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Work through trusted organizations already serving families to organize focus groups; coordinate with Hubs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online survey to invite broad participation</w:t>
            </w:r>
          </w:p>
          <w:p w:rsidR="0033630E" w:rsidRPr="00DA4470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interpretation/translations</w:t>
            </w:r>
          </w:p>
        </w:tc>
        <w:tc>
          <w:tcPr>
            <w:tcW w:w="3960" w:type="dxa"/>
          </w:tcPr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 w:rsidRPr="00C85F0E">
              <w:rPr>
                <w:sz w:val="18"/>
                <w:szCs w:val="18"/>
              </w:rPr>
              <w:t>Work with partners to convene focus groups</w:t>
            </w: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survey with same/similar questions for broad dissemination </w:t>
            </w:r>
          </w:p>
          <w:p w:rsidR="0033630E" w:rsidRPr="00C85F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</w:tc>
      </w:tr>
      <w:tr w:rsidR="0033630E" w:rsidRPr="00C85F0E" w:rsidTr="0033630E">
        <w:trPr>
          <w:trHeight w:val="2960"/>
        </w:trPr>
        <w:tc>
          <w:tcPr>
            <w:tcW w:w="3060" w:type="dxa"/>
          </w:tcPr>
          <w:p w:rsidR="000D2861" w:rsidRDefault="000D2861" w:rsidP="0033630E">
            <w:pPr>
              <w:spacing w:after="240"/>
              <w:rPr>
                <w:sz w:val="18"/>
                <w:szCs w:val="18"/>
              </w:rPr>
            </w:pPr>
          </w:p>
          <w:p w:rsidR="000D2861" w:rsidRDefault="000D2861" w:rsidP="0033630E">
            <w:pPr>
              <w:spacing w:after="240"/>
              <w:rPr>
                <w:sz w:val="18"/>
                <w:szCs w:val="18"/>
              </w:rPr>
            </w:pPr>
          </w:p>
          <w:p w:rsidR="0033630E" w:rsidRPr="000D2861" w:rsidRDefault="000D2861" w:rsidP="0033630E">
            <w:pPr>
              <w:spacing w:after="2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33630E" w:rsidRPr="000D2861">
              <w:rPr>
                <w:sz w:val="20"/>
                <w:szCs w:val="20"/>
              </w:rPr>
              <w:t>Research Questions</w:t>
            </w: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spacing w:after="240"/>
              <w:rPr>
                <w:sz w:val="18"/>
                <w:szCs w:val="18"/>
              </w:rPr>
            </w:pPr>
          </w:p>
          <w:p w:rsidR="0033630E" w:rsidRPr="00C85F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3060" w:type="dxa"/>
          </w:tcPr>
          <w:p w:rsidR="0033630E" w:rsidRPr="00C85F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lastRenderedPageBreak/>
              <w:t>I/T Workgroup</w:t>
            </w:r>
          </w:p>
          <w:p w:rsidR="0033630E" w:rsidRPr="00C85F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t>Family Engagement Subgroup</w:t>
            </w:r>
          </w:p>
          <w:p w:rsidR="0033630E" w:rsidRPr="00C85F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t>Research Partners</w:t>
            </w:r>
          </w:p>
          <w:p w:rsidR="0033630E" w:rsidRPr="00C85F0E" w:rsidRDefault="0033630E" w:rsidP="0033630E">
            <w:pPr>
              <w:spacing w:after="240"/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222222"/>
                <w:sz w:val="18"/>
                <w:szCs w:val="18"/>
              </w:rPr>
              <w:t>National Impact TA</w:t>
            </w:r>
          </w:p>
        </w:tc>
        <w:tc>
          <w:tcPr>
            <w:tcW w:w="3240" w:type="dxa"/>
          </w:tcPr>
          <w:p w:rsidR="0033630E" w:rsidRPr="00C85F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000000"/>
                <w:sz w:val="18"/>
                <w:szCs w:val="18"/>
              </w:rPr>
              <w:t>Have several key questions that inform the questions that we ask families.  Note the research questions are not family facing.</w:t>
            </w:r>
          </w:p>
          <w:p w:rsidR="0033630E" w:rsidRPr="00C85F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85F0E">
              <w:rPr>
                <w:rFonts w:eastAsia="Times New Roman" w:cs="Times New Roman"/>
                <w:color w:val="000000"/>
                <w:sz w:val="18"/>
                <w:szCs w:val="18"/>
              </w:rPr>
              <w:t>Acknowledge limitations in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final</w:t>
            </w:r>
            <w:r w:rsidRPr="00C85F0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report: This is not a research project.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Don’t spend too much time wordsmithing questions – intent is to point towards family questions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Pr="00C85F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Importance of understanding norms and beliefs to uncover more parent experience and preference.</w:t>
            </w:r>
          </w:p>
        </w:tc>
        <w:tc>
          <w:tcPr>
            <w:tcW w:w="3960" w:type="dxa"/>
          </w:tcPr>
          <w:p w:rsidR="0033630E" w:rsidRPr="00C85F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</w:t>
            </w:r>
            <w:r w:rsidRPr="00C85F0E">
              <w:rPr>
                <w:sz w:val="18"/>
                <w:szCs w:val="18"/>
              </w:rPr>
              <w:t xml:space="preserve">research questions are: </w:t>
            </w:r>
          </w:p>
          <w:p w:rsidR="0033630E" w:rsidRDefault="0033630E" w:rsidP="0033630E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C85F0E">
              <w:rPr>
                <w:rFonts w:eastAsia="Times New Roman"/>
                <w:b/>
                <w:sz w:val="18"/>
                <w:szCs w:val="18"/>
              </w:rPr>
              <w:t>1).</w:t>
            </w:r>
            <w:r w:rsidRPr="00C85F0E">
              <w:rPr>
                <w:rFonts w:eastAsia="Times New Roman"/>
                <w:sz w:val="18"/>
                <w:szCs w:val="18"/>
              </w:rPr>
              <w:t xml:space="preserve"> What norms and beliefs do families have about the growth and development of their young </w:t>
            </w:r>
            <w:proofErr w:type="gramStart"/>
            <w:r w:rsidRPr="00C85F0E">
              <w:rPr>
                <w:rFonts w:eastAsia="Times New Roman"/>
                <w:sz w:val="18"/>
                <w:szCs w:val="18"/>
              </w:rPr>
              <w:t>child(</w:t>
            </w:r>
            <w:proofErr w:type="spellStart"/>
            <w:proofErr w:type="gramEnd"/>
            <w:r w:rsidRPr="00C85F0E">
              <w:rPr>
                <w:rFonts w:eastAsia="Times New Roman"/>
                <w:sz w:val="18"/>
                <w:szCs w:val="18"/>
              </w:rPr>
              <w:t>ren</w:t>
            </w:r>
            <w:proofErr w:type="spellEnd"/>
            <w:r w:rsidRPr="00C85F0E">
              <w:rPr>
                <w:rFonts w:eastAsia="Times New Roman"/>
                <w:sz w:val="18"/>
                <w:szCs w:val="18"/>
              </w:rPr>
              <w:t>)? How do norms and beliefs impact what families say they want and need when raising an infant or toddler?</w:t>
            </w:r>
          </w:p>
          <w:p w:rsidR="0033630E" w:rsidRDefault="0033630E" w:rsidP="0033630E">
            <w:pPr>
              <w:rPr>
                <w:rFonts w:eastAsia="Times New Roman"/>
                <w:sz w:val="18"/>
                <w:szCs w:val="18"/>
              </w:rPr>
            </w:pPr>
          </w:p>
          <w:p w:rsidR="0033630E" w:rsidRPr="000D2861" w:rsidRDefault="0033630E" w:rsidP="000D28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33630E">
              <w:rPr>
                <w:rFonts w:eastAsia="Times New Roman"/>
                <w:sz w:val="18"/>
                <w:szCs w:val="18"/>
              </w:rPr>
              <w:t xml:space="preserve">What norms do families furthest from opportunity (particularly in communities of color and rural areas) have around problem-solving </w:t>
            </w:r>
            <w:r w:rsidRPr="000D2861">
              <w:rPr>
                <w:rFonts w:eastAsia="Times New Roman"/>
                <w:sz w:val="18"/>
                <w:szCs w:val="18"/>
              </w:rPr>
              <w:t>when they don’t have enough resources to meet their children’s basic needs (e.g. keeping a child safe and healthy, providing diapers, formula, food)?</w:t>
            </w:r>
          </w:p>
          <w:p w:rsidR="0033630E" w:rsidRDefault="0033630E" w:rsidP="0033630E">
            <w:pPr>
              <w:rPr>
                <w:sz w:val="18"/>
                <w:szCs w:val="18"/>
              </w:rPr>
            </w:pPr>
          </w:p>
          <w:p w:rsidR="0033630E" w:rsidRPr="00C85F0E" w:rsidRDefault="000D2861" w:rsidP="00336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33630E">
              <w:rPr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 xml:space="preserve">   </w:t>
            </w:r>
            <w:r w:rsidR="0033630E" w:rsidRPr="00C85F0E">
              <w:rPr>
                <w:sz w:val="18"/>
                <w:szCs w:val="18"/>
              </w:rPr>
              <w:t>How do families find out about and access services and supports?</w:t>
            </w:r>
          </w:p>
          <w:p w:rsidR="0033630E" w:rsidRPr="00C85F0E" w:rsidRDefault="0033630E" w:rsidP="0033630E">
            <w:pPr>
              <w:pStyle w:val="ListParagraph"/>
              <w:rPr>
                <w:sz w:val="18"/>
                <w:szCs w:val="18"/>
              </w:rPr>
            </w:pPr>
          </w:p>
          <w:p w:rsidR="0033630E" w:rsidRDefault="0033630E" w:rsidP="0033630E">
            <w:pPr>
              <w:tabs>
                <w:tab w:val="left" w:pos="330"/>
                <w:tab w:val="left" w:pos="2045"/>
              </w:tabs>
              <w:rPr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2).</w:t>
            </w:r>
            <w:r>
              <w:rPr>
                <w:sz w:val="18"/>
                <w:szCs w:val="18"/>
              </w:rPr>
              <w:t xml:space="preserve"> </w:t>
            </w:r>
            <w:r w:rsidRPr="00C85F0E">
              <w:rPr>
                <w:sz w:val="18"/>
                <w:szCs w:val="18"/>
              </w:rPr>
              <w:t xml:space="preserve">What services are families aware of that could support them in raising their child?  </w:t>
            </w:r>
          </w:p>
          <w:p w:rsidR="0033630E" w:rsidRDefault="0033630E" w:rsidP="0033630E">
            <w:pPr>
              <w:tabs>
                <w:tab w:val="left" w:pos="330"/>
                <w:tab w:val="left" w:pos="2045"/>
              </w:tabs>
              <w:rPr>
                <w:sz w:val="18"/>
                <w:szCs w:val="18"/>
              </w:rPr>
            </w:pPr>
          </w:p>
          <w:p w:rsidR="0033630E" w:rsidRPr="00C85F0E" w:rsidRDefault="0033630E" w:rsidP="0033630E">
            <w:pPr>
              <w:tabs>
                <w:tab w:val="left" w:pos="330"/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C85F0E">
              <w:rPr>
                <w:sz w:val="18"/>
                <w:szCs w:val="18"/>
              </w:rPr>
              <w:t>What services did they use? Why or why</w:t>
            </w:r>
            <w:r>
              <w:rPr>
                <w:sz w:val="18"/>
                <w:szCs w:val="18"/>
              </w:rPr>
              <w:t xml:space="preserve"> </w:t>
            </w:r>
            <w:r w:rsidRPr="00C85F0E">
              <w:rPr>
                <w:sz w:val="18"/>
                <w:szCs w:val="18"/>
              </w:rPr>
              <w:t xml:space="preserve">not? </w:t>
            </w:r>
          </w:p>
          <w:p w:rsidR="0033630E" w:rsidRDefault="0033630E" w:rsidP="0033630E">
            <w:pPr>
              <w:tabs>
                <w:tab w:val="left" w:pos="20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b. </w:t>
            </w:r>
            <w:r w:rsidRPr="00C85F0E">
              <w:rPr>
                <w:sz w:val="18"/>
                <w:szCs w:val="18"/>
              </w:rPr>
              <w:t>What services are lacking that families</w:t>
            </w:r>
          </w:p>
          <w:p w:rsidR="0033630E" w:rsidRDefault="0033630E" w:rsidP="0033630E">
            <w:pPr>
              <w:tabs>
                <w:tab w:val="left" w:pos="2045"/>
              </w:tabs>
              <w:rPr>
                <w:sz w:val="18"/>
                <w:szCs w:val="18"/>
              </w:rPr>
            </w:pPr>
            <w:r w:rsidRPr="00C85F0E">
              <w:rPr>
                <w:sz w:val="18"/>
                <w:szCs w:val="18"/>
              </w:rPr>
              <w:t xml:space="preserve"> </w:t>
            </w:r>
            <w:proofErr w:type="gramStart"/>
            <w:r w:rsidRPr="00C85F0E">
              <w:rPr>
                <w:sz w:val="18"/>
                <w:szCs w:val="18"/>
              </w:rPr>
              <w:t>would</w:t>
            </w:r>
            <w:proofErr w:type="gramEnd"/>
            <w:r w:rsidRPr="00C85F0E">
              <w:rPr>
                <w:sz w:val="18"/>
                <w:szCs w:val="18"/>
              </w:rPr>
              <w:t xml:space="preserve"> use if available? </w:t>
            </w:r>
          </w:p>
          <w:p w:rsidR="0033630E" w:rsidRDefault="0033630E" w:rsidP="0033630E">
            <w:pPr>
              <w:tabs>
                <w:tab w:val="left" w:pos="2045"/>
              </w:tabs>
              <w:rPr>
                <w:sz w:val="18"/>
                <w:szCs w:val="18"/>
              </w:rPr>
            </w:pPr>
          </w:p>
          <w:p w:rsidR="0033630E" w:rsidRDefault="0033630E" w:rsidP="0033630E">
            <w:pPr>
              <w:tabs>
                <w:tab w:val="left" w:pos="2045"/>
              </w:tabs>
              <w:spacing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C85F0E">
              <w:rPr>
                <w:sz w:val="18"/>
                <w:szCs w:val="18"/>
              </w:rPr>
              <w:t xml:space="preserve">How have families experienced the services they did use, particularly in relation to race, ethnicity, </w:t>
            </w:r>
            <w:r>
              <w:rPr>
                <w:sz w:val="18"/>
                <w:szCs w:val="18"/>
              </w:rPr>
              <w:t xml:space="preserve">geography, and other factors?  </w:t>
            </w:r>
          </w:p>
          <w:p w:rsidR="0033630E" w:rsidRPr="00CD361A" w:rsidRDefault="0033630E" w:rsidP="0033630E">
            <w:pPr>
              <w:tabs>
                <w:tab w:val="left" w:pos="2045"/>
              </w:tabs>
              <w:spacing w:after="240" w:line="276" w:lineRule="auto"/>
              <w:rPr>
                <w:sz w:val="18"/>
                <w:szCs w:val="18"/>
              </w:rPr>
            </w:pPr>
            <w:r w:rsidRPr="0033630E">
              <w:rPr>
                <w:b/>
                <w:sz w:val="18"/>
                <w:szCs w:val="18"/>
              </w:rPr>
              <w:t>3).</w:t>
            </w:r>
            <w:r>
              <w:rPr>
                <w:sz w:val="18"/>
                <w:szCs w:val="18"/>
              </w:rPr>
              <w:t xml:space="preserve"> </w:t>
            </w:r>
            <w:r w:rsidRPr="00C85F0E">
              <w:rPr>
                <w:sz w:val="18"/>
                <w:szCs w:val="18"/>
              </w:rPr>
              <w:t>To what extent do families feel that the programs serving them work together in a coordinated manner? (What are families’ experiences of how it all fits together?)</w:t>
            </w:r>
          </w:p>
        </w:tc>
      </w:tr>
      <w:tr w:rsidR="0033630E" w:rsidRPr="00C85F0E" w:rsidTr="000D2861">
        <w:trPr>
          <w:trHeight w:val="170"/>
        </w:trPr>
        <w:tc>
          <w:tcPr>
            <w:tcW w:w="30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lastRenderedPageBreak/>
              <w:t>Topic</w:t>
            </w:r>
          </w:p>
        </w:tc>
        <w:tc>
          <w:tcPr>
            <w:tcW w:w="30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Outreach Audience</w:t>
            </w:r>
            <w:r>
              <w:rPr>
                <w:b/>
                <w:sz w:val="18"/>
                <w:szCs w:val="18"/>
              </w:rPr>
              <w:t xml:space="preserve"> to Date</w:t>
            </w:r>
          </w:p>
        </w:tc>
        <w:tc>
          <w:tcPr>
            <w:tcW w:w="324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Feedback</w:t>
            </w:r>
          </w:p>
        </w:tc>
        <w:tc>
          <w:tcPr>
            <w:tcW w:w="39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Therefore, next steps</w:t>
            </w:r>
          </w:p>
        </w:tc>
      </w:tr>
      <w:tr w:rsidR="0033630E" w:rsidRPr="00C85F0E" w:rsidTr="0033630E">
        <w:trPr>
          <w:trHeight w:val="170"/>
        </w:trPr>
        <w:tc>
          <w:tcPr>
            <w:tcW w:w="3060" w:type="dxa"/>
          </w:tcPr>
          <w:p w:rsidR="000D2861" w:rsidRDefault="000D2861" w:rsidP="0033630E">
            <w:pPr>
              <w:spacing w:after="240"/>
              <w:rPr>
                <w:sz w:val="18"/>
                <w:szCs w:val="18"/>
              </w:rPr>
            </w:pPr>
          </w:p>
          <w:p w:rsidR="000D2861" w:rsidRDefault="000D2861" w:rsidP="0033630E">
            <w:pPr>
              <w:spacing w:after="240"/>
              <w:rPr>
                <w:sz w:val="18"/>
                <w:szCs w:val="18"/>
              </w:rPr>
            </w:pPr>
          </w:p>
          <w:p w:rsidR="000D2861" w:rsidRDefault="000D2861" w:rsidP="0033630E">
            <w:pPr>
              <w:spacing w:after="240"/>
              <w:rPr>
                <w:sz w:val="18"/>
                <w:szCs w:val="18"/>
              </w:rPr>
            </w:pPr>
          </w:p>
          <w:p w:rsidR="0033630E" w:rsidRPr="000D2861" w:rsidRDefault="0033630E" w:rsidP="000D2861">
            <w:pPr>
              <w:spacing w:after="240"/>
              <w:jc w:val="center"/>
              <w:rPr>
                <w:sz w:val="20"/>
                <w:szCs w:val="20"/>
              </w:rPr>
            </w:pPr>
            <w:r w:rsidRPr="000D2861">
              <w:rPr>
                <w:sz w:val="20"/>
                <w:szCs w:val="20"/>
              </w:rPr>
              <w:t>Get involved Document/ General Outreach</w:t>
            </w:r>
          </w:p>
        </w:tc>
        <w:tc>
          <w:tcPr>
            <w:tcW w:w="3060" w:type="dxa"/>
          </w:tcPr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Has been sent to:</w:t>
            </w: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br/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ELD distribution lists:</w:t>
            </w:r>
          </w:p>
          <w:p w:rsidR="0033630E" w:rsidRPr="007422D8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ELD Advocacy </w:t>
            </w:r>
          </w:p>
          <w:p w:rsidR="0033630E" w:rsidRPr="007422D8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CCR&amp;Rs</w:t>
            </w:r>
          </w:p>
          <w:p w:rsidR="0033630E" w:rsidRPr="007422D8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EL Hubs</w:t>
            </w:r>
          </w:p>
          <w:p w:rsidR="0033630E" w:rsidRPr="007422D8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Relief Nurseries</w:t>
            </w:r>
          </w:p>
          <w:p w:rsidR="0033630E" w:rsidRPr="007422D8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Head Starts</w:t>
            </w:r>
          </w:p>
          <w:p w:rsidR="0033630E" w:rsidRPr="007422D8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HFO Programs</w:t>
            </w:r>
          </w:p>
          <w:p w:rsidR="0033630E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Early Learning Partner Forum</w:t>
            </w:r>
          </w:p>
          <w:p w:rsidR="0033630E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222222"/>
                <w:sz w:val="18"/>
                <w:szCs w:val="18"/>
              </w:rPr>
              <w:t>Hubdate</w:t>
            </w:r>
            <w:proofErr w:type="spellEnd"/>
          </w:p>
          <w:p w:rsidR="0033630E" w:rsidRDefault="0033630E" w:rsidP="0033630E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Weekly CCR&amp;R System update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DHS-Developmental Disabilities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WIC networks 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Tribal Education Directors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Home Visiting System (MIECHV)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CCO Community Advisory Councils  (family engagement specific)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Best Beginnings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ELD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>/ODE</w:t>
            </w: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newsletters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</w:t>
            </w: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Posted</w:t>
            </w: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: </w:t>
            </w: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 ELD webpage and Facebook 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Workgroup members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 w:rsidRPr="007422D8">
              <w:rPr>
                <w:rFonts w:eastAsia="Times New Roman" w:cs="Times New Roman"/>
                <w:color w:val="222222"/>
                <w:sz w:val="18"/>
                <w:szCs w:val="18"/>
              </w:rPr>
              <w:t>EI/ECSE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OCCYSHN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3240" w:type="dxa"/>
          </w:tcPr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Responses from 10 different individuals and organizations to date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Individual follow-up with Hub leaders 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Pr="007422D8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Create parent-friendly flyer with key messages to parents about participation</w:t>
            </w:r>
          </w:p>
        </w:tc>
        <w:tc>
          <w:tcPr>
            <w:tcW w:w="3960" w:type="dxa"/>
          </w:tcPr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individual follow-up with Hub leaders, CBOs and agencies serving target populations to host focus groups</w:t>
            </w:r>
          </w:p>
          <w:p w:rsidR="0033630E" w:rsidRPr="007422D8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</w:tc>
      </w:tr>
      <w:tr w:rsidR="0033630E" w:rsidRPr="00C85F0E" w:rsidTr="000D2861">
        <w:trPr>
          <w:trHeight w:val="305"/>
        </w:trPr>
        <w:tc>
          <w:tcPr>
            <w:tcW w:w="30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lastRenderedPageBreak/>
              <w:t>Topic</w:t>
            </w:r>
          </w:p>
        </w:tc>
        <w:tc>
          <w:tcPr>
            <w:tcW w:w="30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Outreach Audience</w:t>
            </w:r>
            <w:r>
              <w:rPr>
                <w:b/>
                <w:sz w:val="18"/>
                <w:szCs w:val="18"/>
              </w:rPr>
              <w:t xml:space="preserve"> to Date</w:t>
            </w:r>
          </w:p>
        </w:tc>
        <w:tc>
          <w:tcPr>
            <w:tcW w:w="324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Feedback</w:t>
            </w:r>
          </w:p>
        </w:tc>
        <w:tc>
          <w:tcPr>
            <w:tcW w:w="39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Therefore, next steps</w:t>
            </w:r>
          </w:p>
        </w:tc>
      </w:tr>
      <w:tr w:rsidR="0033630E" w:rsidRPr="00C85F0E" w:rsidTr="0033630E">
        <w:trPr>
          <w:trHeight w:val="2497"/>
        </w:trPr>
        <w:tc>
          <w:tcPr>
            <w:tcW w:w="3060" w:type="dxa"/>
          </w:tcPr>
          <w:p w:rsidR="000D2861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0D2861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33630E" w:rsidRPr="000D2861" w:rsidRDefault="0033630E" w:rsidP="000D2861">
            <w:pPr>
              <w:spacing w:after="240"/>
              <w:jc w:val="center"/>
              <w:rPr>
                <w:sz w:val="20"/>
                <w:szCs w:val="20"/>
              </w:rPr>
            </w:pPr>
            <w:r w:rsidRPr="000D2861">
              <w:rPr>
                <w:sz w:val="20"/>
                <w:szCs w:val="20"/>
              </w:rPr>
              <w:t>Family Questions</w:t>
            </w:r>
          </w:p>
          <w:p w:rsidR="000D2861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0D2861" w:rsidRPr="00BE0592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Stakeholder Meeting April 6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Family Engagement Subgroup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ELD Community Engagement staff 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Parents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Research partners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Review of existing CE question sets and data, including Zero to Three national parent survey and several local focus group efforts in Oregon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National Impact TA</w:t>
            </w:r>
          </w:p>
          <w:p w:rsidR="0033630E" w:rsidRPr="007422D8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3240" w:type="dxa"/>
          </w:tcPr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What are stories not told by current data? –specific topics suggested from Stakeholder Meeting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Engagement of parents/parent advocates to advise process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Suggestions for more welcoming, less stigmatizing language 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Parent feedback re: which questions for focus groups and which for written responses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Alignment with research questions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Reduce to 6-8 key questions for focus groups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4C0C6A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Workgroup</w:t>
            </w:r>
            <w:r w:rsidR="0033630E">
              <w:rPr>
                <w:sz w:val="18"/>
                <w:szCs w:val="18"/>
              </w:rPr>
              <w:t xml:space="preserve"> review and prioritization</w:t>
            </w: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with Equity Implementation Committee</w:t>
            </w: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Modify as needed for survey format</w:t>
            </w: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Finalize by December 1, 2017</w:t>
            </w: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</w:tc>
      </w:tr>
      <w:tr w:rsidR="0033630E" w:rsidRPr="00C85F0E" w:rsidTr="0033630E">
        <w:trPr>
          <w:trHeight w:val="890"/>
        </w:trPr>
        <w:tc>
          <w:tcPr>
            <w:tcW w:w="3060" w:type="dxa"/>
          </w:tcPr>
          <w:p w:rsidR="000D2861" w:rsidRDefault="000D2861" w:rsidP="0033630E">
            <w:pPr>
              <w:spacing w:after="240"/>
              <w:rPr>
                <w:sz w:val="18"/>
                <w:szCs w:val="18"/>
              </w:rPr>
            </w:pPr>
          </w:p>
          <w:p w:rsidR="000D2861" w:rsidRPr="000D2861" w:rsidRDefault="000D2861" w:rsidP="0033630E">
            <w:pPr>
              <w:spacing w:after="240"/>
              <w:rPr>
                <w:sz w:val="20"/>
                <w:szCs w:val="20"/>
              </w:rPr>
            </w:pPr>
          </w:p>
          <w:p w:rsidR="000D2861" w:rsidRPr="000D2861" w:rsidRDefault="0033630E" w:rsidP="000D2861">
            <w:pPr>
              <w:jc w:val="center"/>
              <w:rPr>
                <w:sz w:val="20"/>
                <w:szCs w:val="20"/>
              </w:rPr>
            </w:pPr>
            <w:r w:rsidRPr="000D2861">
              <w:rPr>
                <w:sz w:val="20"/>
                <w:szCs w:val="20"/>
              </w:rPr>
              <w:t>Target Population</w:t>
            </w:r>
            <w:r w:rsidR="000D2861" w:rsidRPr="000D2861">
              <w:rPr>
                <w:sz w:val="20"/>
                <w:szCs w:val="20"/>
              </w:rPr>
              <w:t xml:space="preserve"> </w:t>
            </w:r>
          </w:p>
          <w:p w:rsidR="0033630E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  <w:r w:rsidRPr="000D2861">
              <w:rPr>
                <w:sz w:val="20"/>
                <w:szCs w:val="20"/>
              </w:rPr>
              <w:t>(</w:t>
            </w:r>
            <w:r w:rsidR="0033630E" w:rsidRPr="000D2861">
              <w:rPr>
                <w:sz w:val="20"/>
                <w:szCs w:val="20"/>
              </w:rPr>
              <w:t xml:space="preserve">to convene for </w:t>
            </w:r>
            <w:r w:rsidRPr="000D2861">
              <w:rPr>
                <w:sz w:val="20"/>
                <w:szCs w:val="20"/>
              </w:rPr>
              <w:t>family engagement)</w:t>
            </w:r>
          </w:p>
        </w:tc>
        <w:tc>
          <w:tcPr>
            <w:tcW w:w="3060" w:type="dxa"/>
          </w:tcPr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 xml:space="preserve">Oregon ELD priorities </w:t>
            </w: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3240" w:type="dxa"/>
          </w:tcPr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furthest from opportunity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  <w:t> </w:t>
            </w: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Furthest from opportunity defined as: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African American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Latino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Asian and Pacific Islander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Tribal Communities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Children with disabilities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English language learners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Economic disparities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 xml:space="preserve">• Immigrants and refugees </w:t>
            </w:r>
          </w:p>
          <w:p w:rsidR="0033630E" w:rsidRPr="000A4AB8" w:rsidRDefault="0033630E" w:rsidP="0033630E">
            <w:pPr>
              <w:rPr>
                <w:rFonts w:ascii="Calibri" w:eastAsia="Calibri" w:hAnsi="Calibri" w:cs="Times New Roman"/>
                <w:color w:val="1F497D"/>
                <w:sz w:val="18"/>
                <w:szCs w:val="18"/>
              </w:rPr>
            </w:pPr>
            <w:r w:rsidRPr="000A4AB8">
              <w:rPr>
                <w:rFonts w:ascii="Calibri" w:eastAsia="Calibri" w:hAnsi="Calibri" w:cs="Times New Roman"/>
                <w:sz w:val="18"/>
                <w:szCs w:val="18"/>
              </w:rPr>
              <w:t>• Geographic isolation</w:t>
            </w:r>
          </w:p>
          <w:p w:rsidR="0033630E" w:rsidRDefault="0033630E" w:rsidP="0033630E">
            <w:pPr>
              <w:pStyle w:val="ListParagraph"/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pStyle w:val="ListParagraph"/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pStyle w:val="ListParagraph"/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pStyle w:val="ListParagraph"/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Pr="009F4982" w:rsidRDefault="0033630E" w:rsidP="0033630E">
            <w:pPr>
              <w:pStyle w:val="ListParagraph"/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</w:tc>
      </w:tr>
      <w:tr w:rsidR="0033630E" w:rsidRPr="00C85F0E" w:rsidTr="000D2861">
        <w:trPr>
          <w:trHeight w:val="350"/>
        </w:trPr>
        <w:tc>
          <w:tcPr>
            <w:tcW w:w="30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30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Outreach Audience</w:t>
            </w:r>
            <w:r>
              <w:rPr>
                <w:b/>
                <w:sz w:val="18"/>
                <w:szCs w:val="18"/>
              </w:rPr>
              <w:t xml:space="preserve"> to Date</w:t>
            </w:r>
          </w:p>
        </w:tc>
        <w:tc>
          <w:tcPr>
            <w:tcW w:w="324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Feedback</w:t>
            </w:r>
          </w:p>
        </w:tc>
        <w:tc>
          <w:tcPr>
            <w:tcW w:w="3960" w:type="dxa"/>
            <w:shd w:val="clear" w:color="auto" w:fill="EEECE1" w:themeFill="background2"/>
          </w:tcPr>
          <w:p w:rsidR="0033630E" w:rsidRPr="00C85F0E" w:rsidRDefault="0033630E" w:rsidP="0033630E">
            <w:pPr>
              <w:rPr>
                <w:b/>
                <w:sz w:val="18"/>
                <w:szCs w:val="18"/>
              </w:rPr>
            </w:pPr>
            <w:r w:rsidRPr="00C85F0E">
              <w:rPr>
                <w:b/>
                <w:sz w:val="18"/>
                <w:szCs w:val="18"/>
              </w:rPr>
              <w:t>Therefore, next steps</w:t>
            </w:r>
          </w:p>
        </w:tc>
      </w:tr>
      <w:tr w:rsidR="0033630E" w:rsidRPr="00C85F0E" w:rsidTr="0033630E">
        <w:trPr>
          <w:trHeight w:val="2497"/>
        </w:trPr>
        <w:tc>
          <w:tcPr>
            <w:tcW w:w="3060" w:type="dxa"/>
          </w:tcPr>
          <w:p w:rsidR="000D2861" w:rsidRDefault="000D2861" w:rsidP="000D2861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0D2861" w:rsidRPr="000D2861" w:rsidRDefault="000D2861" w:rsidP="000D2861">
            <w:pPr>
              <w:spacing w:after="240"/>
              <w:jc w:val="center"/>
              <w:rPr>
                <w:sz w:val="20"/>
                <w:szCs w:val="20"/>
              </w:rPr>
            </w:pPr>
            <w:r w:rsidRPr="000D2861">
              <w:rPr>
                <w:sz w:val="20"/>
                <w:szCs w:val="20"/>
              </w:rPr>
              <w:t>Stakeholder Questions</w:t>
            </w:r>
            <w:r w:rsidR="0033630E" w:rsidRPr="000D2861">
              <w:rPr>
                <w:sz w:val="20"/>
                <w:szCs w:val="20"/>
              </w:rPr>
              <w:t xml:space="preserve">: </w:t>
            </w:r>
          </w:p>
          <w:p w:rsidR="0033630E" w:rsidRDefault="0033630E" w:rsidP="000D2861">
            <w:pPr>
              <w:spacing w:after="240"/>
              <w:jc w:val="center"/>
              <w:rPr>
                <w:sz w:val="18"/>
                <w:szCs w:val="18"/>
              </w:rPr>
            </w:pPr>
            <w:r w:rsidRPr="000D2861">
              <w:rPr>
                <w:sz w:val="20"/>
                <w:szCs w:val="20"/>
              </w:rPr>
              <w:t>Surveys for service providers, early childhood partners and other stakeholders in the infant/toddler system</w:t>
            </w:r>
          </w:p>
        </w:tc>
        <w:tc>
          <w:tcPr>
            <w:tcW w:w="3060" w:type="dxa"/>
          </w:tcPr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222222"/>
                <w:sz w:val="18"/>
                <w:szCs w:val="18"/>
              </w:rPr>
            </w:pPr>
            <w:r>
              <w:rPr>
                <w:rFonts w:eastAsia="Times New Roman" w:cs="Times New Roman"/>
                <w:color w:val="222222"/>
                <w:sz w:val="18"/>
                <w:szCs w:val="18"/>
              </w:rPr>
              <w:t>Stakeholder Survey Subgroup</w:t>
            </w:r>
          </w:p>
        </w:tc>
        <w:tc>
          <w:tcPr>
            <w:tcW w:w="3240" w:type="dxa"/>
          </w:tcPr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Develop Oregon-specific online survey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Align research questions/topics with parent research questions where useful</w:t>
            </w: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3630E" w:rsidRDefault="0033630E" w:rsidP="0033630E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Assess alignment and coordination of infant/toddler system from stakeholder/service provider perspective</w:t>
            </w:r>
          </w:p>
        </w:tc>
        <w:tc>
          <w:tcPr>
            <w:tcW w:w="3960" w:type="dxa"/>
          </w:tcPr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</w:p>
          <w:p w:rsidR="0033630E" w:rsidRDefault="0033630E" w:rsidP="0033630E">
            <w:pPr>
              <w:tabs>
                <w:tab w:val="left" w:pos="2045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research questions and survey questions</w:t>
            </w:r>
          </w:p>
        </w:tc>
      </w:tr>
    </w:tbl>
    <w:p w:rsidR="00C85F0E" w:rsidRPr="00C85F0E" w:rsidRDefault="00C85F0E" w:rsidP="005153CA">
      <w:pPr>
        <w:rPr>
          <w:color w:val="000000" w:themeColor="text1"/>
          <w:sz w:val="18"/>
          <w:szCs w:val="18"/>
        </w:rPr>
      </w:pPr>
    </w:p>
    <w:p w:rsidR="00C85F0E" w:rsidRPr="00C85F0E" w:rsidRDefault="00C85F0E">
      <w:pPr>
        <w:rPr>
          <w:sz w:val="18"/>
          <w:szCs w:val="18"/>
        </w:rPr>
      </w:pPr>
    </w:p>
    <w:sectPr w:rsidR="00C85F0E" w:rsidRPr="00C85F0E" w:rsidSect="00C85F0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179C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0E" w:rsidRDefault="0033630E" w:rsidP="0033630E">
      <w:r>
        <w:separator/>
      </w:r>
    </w:p>
  </w:endnote>
  <w:endnote w:type="continuationSeparator" w:id="0">
    <w:p w:rsidR="0033630E" w:rsidRDefault="0033630E" w:rsidP="003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368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D2861" w:rsidRDefault="000D28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7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D2861" w:rsidRDefault="000D2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0E" w:rsidRDefault="0033630E" w:rsidP="0033630E">
      <w:r>
        <w:separator/>
      </w:r>
    </w:p>
  </w:footnote>
  <w:footnote w:type="continuationSeparator" w:id="0">
    <w:p w:rsidR="0033630E" w:rsidRDefault="0033630E" w:rsidP="0033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E" w:rsidRPr="00C85F0E" w:rsidRDefault="0033630E" w:rsidP="0033630E">
    <w:pPr>
      <w:rPr>
        <w:color w:val="000000" w:themeColor="text1"/>
        <w:sz w:val="18"/>
        <w:szCs w:val="18"/>
      </w:rPr>
    </w:pPr>
    <w:r w:rsidRPr="0033630E">
      <w:rPr>
        <w:rStyle w:val="IntenseEmphasis"/>
      </w:rPr>
      <w:t xml:space="preserve">IT </w:t>
    </w:r>
    <w:r>
      <w:rPr>
        <w:rStyle w:val="IntenseEmphasis"/>
      </w:rPr>
      <w:t xml:space="preserve">Self- </w:t>
    </w:r>
    <w:r w:rsidRPr="0033630E">
      <w:rPr>
        <w:rStyle w:val="IntenseEmphasis"/>
      </w:rPr>
      <w:t>Assessment - Community Engagement Outreach and Vetting Summary November 16, 2017</w:t>
    </w:r>
    <w:r>
      <w:rPr>
        <w:color w:val="000000" w:themeColor="text1"/>
        <w:sz w:val="18"/>
        <w:szCs w:val="18"/>
      </w:rPr>
      <w:t xml:space="preserve"> </w:t>
    </w:r>
  </w:p>
  <w:p w:rsidR="0033630E" w:rsidRDefault="00336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9E8"/>
    <w:multiLevelType w:val="hybridMultilevel"/>
    <w:tmpl w:val="79DE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53F"/>
    <w:multiLevelType w:val="hybridMultilevel"/>
    <w:tmpl w:val="9EE2B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3CA0"/>
    <w:multiLevelType w:val="hybridMultilevel"/>
    <w:tmpl w:val="1D12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662A"/>
    <w:multiLevelType w:val="hybridMultilevel"/>
    <w:tmpl w:val="EE96906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B86"/>
    <w:multiLevelType w:val="hybridMultilevel"/>
    <w:tmpl w:val="43AC8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102C40">
      <w:start w:val="1"/>
      <w:numFmt w:val="lowerLetter"/>
      <w:lvlText w:val="%2."/>
      <w:lvlJc w:val="left"/>
      <w:pPr>
        <w:ind w:left="1530" w:hanging="360"/>
      </w:pPr>
      <w:rPr>
        <w:rFonts w:asciiTheme="minorHAnsi" w:eastAsia="Times New Roman" w:hAnsiTheme="minorHAnsi" w:cstheme="minorBidi"/>
      </w:rPr>
    </w:lvl>
    <w:lvl w:ilvl="2" w:tplc="6382C768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4E8433A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6E08"/>
    <w:multiLevelType w:val="hybridMultilevel"/>
    <w:tmpl w:val="E53C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8039F"/>
    <w:multiLevelType w:val="hybridMultilevel"/>
    <w:tmpl w:val="3B0A4D08"/>
    <w:lvl w:ilvl="0" w:tplc="E2EE70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7CE6B6E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31FAC"/>
    <w:multiLevelType w:val="hybridMultilevel"/>
    <w:tmpl w:val="5AC80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82C768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C48DE"/>
    <w:multiLevelType w:val="hybridMultilevel"/>
    <w:tmpl w:val="A1A23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art Elizabeth M">
    <w15:presenceInfo w15:providerId="AD" w15:userId="S-1-5-21-982684679-592840582-1966211492-153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E"/>
    <w:rsid w:val="000A4AB8"/>
    <w:rsid w:val="000D2861"/>
    <w:rsid w:val="001D2947"/>
    <w:rsid w:val="00220084"/>
    <w:rsid w:val="00296BA5"/>
    <w:rsid w:val="0033630E"/>
    <w:rsid w:val="00413B1C"/>
    <w:rsid w:val="004C0C6A"/>
    <w:rsid w:val="005153CA"/>
    <w:rsid w:val="00577114"/>
    <w:rsid w:val="00706260"/>
    <w:rsid w:val="00736FF7"/>
    <w:rsid w:val="007422D8"/>
    <w:rsid w:val="008957E5"/>
    <w:rsid w:val="009024E2"/>
    <w:rsid w:val="009F4982"/>
    <w:rsid w:val="00A6729C"/>
    <w:rsid w:val="00BE0592"/>
    <w:rsid w:val="00C85F0E"/>
    <w:rsid w:val="00CD361A"/>
    <w:rsid w:val="00CE4BDF"/>
    <w:rsid w:val="00D666B3"/>
    <w:rsid w:val="00D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0E"/>
    <w:pPr>
      <w:ind w:left="720"/>
      <w:contextualSpacing/>
    </w:pPr>
  </w:style>
  <w:style w:type="table" w:styleId="TableGrid">
    <w:name w:val="Table Grid"/>
    <w:basedOn w:val="TableNormal"/>
    <w:uiPriority w:val="59"/>
    <w:rsid w:val="00C85F0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BD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BD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D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3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30E"/>
    <w:rPr>
      <w:rFonts w:eastAsiaTheme="minorEastAsia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3630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0E"/>
    <w:pPr>
      <w:ind w:left="720"/>
      <w:contextualSpacing/>
    </w:pPr>
  </w:style>
  <w:style w:type="table" w:styleId="TableGrid">
    <w:name w:val="Table Grid"/>
    <w:basedOn w:val="TableNormal"/>
    <w:uiPriority w:val="59"/>
    <w:rsid w:val="00C85F0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BD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BD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D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3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30E"/>
    <w:rPr>
      <w:rFonts w:eastAsiaTheme="minorEastAsia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3630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 Elisabeth - ELD</dc:creator>
  <cp:lastModifiedBy>UNDERWOOD Elisabeth - ELD</cp:lastModifiedBy>
  <cp:revision>4</cp:revision>
  <dcterms:created xsi:type="dcterms:W3CDTF">2017-11-15T18:27:00Z</dcterms:created>
  <dcterms:modified xsi:type="dcterms:W3CDTF">2017-11-15T21:55:00Z</dcterms:modified>
</cp:coreProperties>
</file>