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98" w:type="dxa"/>
        <w:tblLook w:val="04A0" w:firstRow="1" w:lastRow="0" w:firstColumn="1" w:lastColumn="0" w:noHBand="0" w:noVBand="1"/>
      </w:tblPr>
      <w:tblGrid>
        <w:gridCol w:w="3528"/>
        <w:gridCol w:w="3780"/>
        <w:gridCol w:w="3870"/>
        <w:gridCol w:w="3420"/>
      </w:tblGrid>
      <w:tr w:rsidR="001653F6" w:rsidTr="000E22F3">
        <w:tc>
          <w:tcPr>
            <w:tcW w:w="14598" w:type="dxa"/>
            <w:gridSpan w:val="4"/>
            <w:shd w:val="clear" w:color="auto" w:fill="B6DDE8" w:themeFill="accent5" w:themeFillTint="66"/>
          </w:tcPr>
          <w:p w:rsidR="001653F6" w:rsidRDefault="001653F6">
            <w:pPr>
              <w:rPr>
                <w:rFonts w:ascii="Cambria" w:hAnsi="Cambria"/>
                <w:b/>
              </w:rPr>
            </w:pPr>
            <w:r w:rsidRPr="008B4A6C">
              <w:rPr>
                <w:rFonts w:ascii="Cambria" w:hAnsi="Cambria"/>
                <w:b/>
              </w:rPr>
              <w:t>Caring for Our Children Standards</w:t>
            </w:r>
            <w:r w:rsidR="000E22F3">
              <w:rPr>
                <w:rFonts w:ascii="Cambria" w:hAnsi="Cambria"/>
                <w:b/>
              </w:rPr>
              <w:t xml:space="preserve"> – Registered Family</w:t>
            </w:r>
            <w:r w:rsidR="007C26FF">
              <w:rPr>
                <w:rFonts w:ascii="Cambria" w:hAnsi="Cambria"/>
                <w:b/>
              </w:rPr>
              <w:t xml:space="preserve"> and Certified Family Child Care</w:t>
            </w:r>
            <w:r w:rsidRPr="008B4A6C">
              <w:rPr>
                <w:rFonts w:ascii="Cambria" w:hAnsi="Cambria"/>
                <w:b/>
              </w:rPr>
              <w:t>:</w:t>
            </w:r>
          </w:p>
          <w:p w:rsidR="001653F6" w:rsidRDefault="001653F6">
            <w:pPr>
              <w:rPr>
                <w:rFonts w:ascii="Cambria" w:hAnsi="Cambria"/>
                <w:b/>
              </w:rPr>
            </w:pPr>
          </w:p>
          <w:p w:rsidR="001653F6" w:rsidRDefault="001653F6" w:rsidP="007B745D">
            <w:pPr>
              <w:rPr>
                <w:rFonts w:asciiTheme="minorHAnsi" w:hAnsiTheme="minorHAnsi"/>
                <w:sz w:val="20"/>
                <w:szCs w:val="20"/>
              </w:rPr>
            </w:pPr>
            <w:r w:rsidRPr="000C628A">
              <w:rPr>
                <w:rFonts w:asciiTheme="minorHAnsi" w:hAnsiTheme="minorHAnsi"/>
                <w:sz w:val="20"/>
                <w:szCs w:val="20"/>
              </w:rPr>
              <w:t>STANDARD 1.4.4.2: Continuing Education for Small Family Child Care Home Caregivers/Teachers Small family child care home caregivers/teachers should have at least thirty clock-hours per year (2) of continuing education in areas determined by self-assessment and, where possible, by a performance review of a skilled mentor or peer reviewer.</w:t>
            </w:r>
          </w:p>
          <w:p w:rsidR="001653F6" w:rsidRPr="008B4A6C" w:rsidRDefault="001653F6">
            <w:pPr>
              <w:rPr>
                <w:rFonts w:ascii="Cambria" w:hAnsi="Cambria"/>
                <w:b/>
              </w:rPr>
            </w:pPr>
          </w:p>
        </w:tc>
      </w:tr>
      <w:tr w:rsidR="001653F6" w:rsidTr="001653F6">
        <w:tc>
          <w:tcPr>
            <w:tcW w:w="3528" w:type="dxa"/>
            <w:shd w:val="clear" w:color="auto" w:fill="31849B" w:themeFill="accent5" w:themeFillShade="BF"/>
          </w:tcPr>
          <w:p w:rsidR="001653F6" w:rsidRPr="00B2762D" w:rsidRDefault="001653F6" w:rsidP="007E01E9">
            <w:pPr>
              <w:jc w:val="center"/>
              <w:rPr>
                <w:rFonts w:ascii="Cambria" w:hAnsi="Cambria"/>
                <w:color w:val="FFFFFF" w:themeColor="background1"/>
              </w:rPr>
            </w:pPr>
            <w:r>
              <w:rPr>
                <w:rFonts w:ascii="Cambria" w:hAnsi="Cambria"/>
                <w:color w:val="FFFFFF" w:themeColor="background1"/>
              </w:rPr>
              <w:t xml:space="preserve">PDC </w:t>
            </w:r>
            <w:r w:rsidR="007E01E9">
              <w:rPr>
                <w:rFonts w:ascii="Cambria" w:hAnsi="Cambria"/>
                <w:color w:val="FFFFFF" w:themeColor="background1"/>
              </w:rPr>
              <w:t>and</w:t>
            </w:r>
            <w:r>
              <w:rPr>
                <w:rFonts w:ascii="Cambria" w:hAnsi="Cambria"/>
                <w:color w:val="FFFFFF" w:themeColor="background1"/>
              </w:rPr>
              <w:t xml:space="preserve"> OCCD Recommendations for RF</w:t>
            </w:r>
          </w:p>
        </w:tc>
        <w:tc>
          <w:tcPr>
            <w:tcW w:w="3780" w:type="dxa"/>
            <w:shd w:val="clear" w:color="auto" w:fill="31849B" w:themeFill="accent5" w:themeFillShade="BF"/>
          </w:tcPr>
          <w:p w:rsidR="001653F6" w:rsidRPr="00B2762D" w:rsidRDefault="001653F6" w:rsidP="00B2762D">
            <w:pPr>
              <w:jc w:val="center"/>
              <w:rPr>
                <w:rFonts w:ascii="Cambria" w:hAnsi="Cambria"/>
                <w:color w:val="FFFFFF" w:themeColor="background1"/>
              </w:rPr>
            </w:pPr>
            <w:r>
              <w:rPr>
                <w:rFonts w:ascii="Cambria" w:hAnsi="Cambria"/>
                <w:color w:val="FFFFFF" w:themeColor="background1"/>
              </w:rPr>
              <w:t>Current Rule Language</w:t>
            </w:r>
          </w:p>
        </w:tc>
        <w:tc>
          <w:tcPr>
            <w:tcW w:w="3870" w:type="dxa"/>
            <w:shd w:val="clear" w:color="auto" w:fill="31849B" w:themeFill="accent5" w:themeFillShade="BF"/>
          </w:tcPr>
          <w:p w:rsidR="001653F6" w:rsidRPr="00B2762D" w:rsidRDefault="001653F6" w:rsidP="00B2762D">
            <w:pPr>
              <w:jc w:val="center"/>
              <w:rPr>
                <w:rFonts w:ascii="Cambria" w:hAnsi="Cambria"/>
                <w:color w:val="FFFFFF" w:themeColor="background1"/>
              </w:rPr>
            </w:pPr>
            <w:r>
              <w:rPr>
                <w:rFonts w:ascii="Cambria" w:hAnsi="Cambria"/>
                <w:color w:val="FFFFFF" w:themeColor="background1"/>
              </w:rPr>
              <w:t>Proposed</w:t>
            </w:r>
          </w:p>
        </w:tc>
        <w:tc>
          <w:tcPr>
            <w:tcW w:w="3420" w:type="dxa"/>
            <w:shd w:val="clear" w:color="auto" w:fill="31849B" w:themeFill="accent5" w:themeFillShade="BF"/>
          </w:tcPr>
          <w:p w:rsidR="001653F6" w:rsidRDefault="001653F6" w:rsidP="00B2762D">
            <w:pPr>
              <w:jc w:val="center"/>
              <w:rPr>
                <w:rFonts w:ascii="Cambria" w:hAnsi="Cambria"/>
                <w:color w:val="FFFFFF" w:themeColor="background1"/>
              </w:rPr>
            </w:pPr>
            <w:r>
              <w:rPr>
                <w:rFonts w:ascii="Cambria" w:hAnsi="Cambria"/>
                <w:color w:val="FFFFFF" w:themeColor="background1"/>
              </w:rPr>
              <w:t>Rationale</w:t>
            </w:r>
          </w:p>
        </w:tc>
      </w:tr>
      <w:tr w:rsidR="001653F6" w:rsidTr="001B0399">
        <w:tc>
          <w:tcPr>
            <w:tcW w:w="3528" w:type="dxa"/>
            <w:shd w:val="clear" w:color="auto" w:fill="auto"/>
          </w:tcPr>
          <w:p w:rsidR="001653F6" w:rsidRPr="001653F6" w:rsidRDefault="001653F6" w:rsidP="008165BE">
            <w:pPr>
              <w:rPr>
                <w:rFonts w:asciiTheme="minorHAnsi" w:hAnsiTheme="minorHAnsi"/>
                <w:sz w:val="20"/>
                <w:szCs w:val="20"/>
              </w:rPr>
            </w:pPr>
            <w:r w:rsidRPr="001653F6">
              <w:rPr>
                <w:rFonts w:asciiTheme="minorHAnsi" w:hAnsiTheme="minorHAnsi"/>
                <w:sz w:val="20"/>
                <w:szCs w:val="20"/>
              </w:rPr>
              <w:t>Increase</w:t>
            </w:r>
            <w:r w:rsidR="008165BE">
              <w:rPr>
                <w:rFonts w:asciiTheme="minorHAnsi" w:hAnsiTheme="minorHAnsi"/>
                <w:sz w:val="20"/>
                <w:szCs w:val="20"/>
              </w:rPr>
              <w:t xml:space="preserve"> required training hours </w:t>
            </w:r>
            <w:r w:rsidR="00E33BC5">
              <w:rPr>
                <w:rFonts w:asciiTheme="minorHAnsi" w:hAnsiTheme="minorHAnsi"/>
                <w:sz w:val="20"/>
                <w:szCs w:val="20"/>
              </w:rPr>
              <w:t xml:space="preserve">for the provider </w:t>
            </w:r>
            <w:r w:rsidR="008165BE">
              <w:rPr>
                <w:rFonts w:asciiTheme="minorHAnsi" w:hAnsiTheme="minorHAnsi"/>
                <w:sz w:val="20"/>
                <w:szCs w:val="20"/>
              </w:rPr>
              <w:t xml:space="preserve">from ten to </w:t>
            </w:r>
            <w:r w:rsidRPr="001653F6">
              <w:rPr>
                <w:rFonts w:asciiTheme="minorHAnsi" w:hAnsiTheme="minorHAnsi"/>
                <w:sz w:val="20"/>
                <w:szCs w:val="20"/>
              </w:rPr>
              <w:t xml:space="preserve">20 hours per license period. </w:t>
            </w:r>
          </w:p>
        </w:tc>
        <w:tc>
          <w:tcPr>
            <w:tcW w:w="3780" w:type="dxa"/>
            <w:shd w:val="clear" w:color="auto" w:fill="auto"/>
          </w:tcPr>
          <w:p w:rsidR="001653F6" w:rsidRPr="001653F6" w:rsidRDefault="001653F6" w:rsidP="00FE3814">
            <w:pPr>
              <w:rPr>
                <w:rFonts w:asciiTheme="minorHAnsi" w:hAnsiTheme="minorHAnsi"/>
                <w:sz w:val="20"/>
                <w:szCs w:val="20"/>
              </w:rPr>
            </w:pPr>
            <w:r w:rsidRPr="001653F6">
              <w:rPr>
                <w:rFonts w:asciiTheme="minorHAnsi" w:hAnsiTheme="minorHAnsi"/>
                <w:color w:val="000000"/>
                <w:sz w:val="20"/>
                <w:szCs w:val="20"/>
                <w:shd w:val="clear" w:color="auto" w:fill="FFFFFF"/>
              </w:rPr>
              <w:t xml:space="preserve">Completed a minimum of ten hours of training during the two years preceding the renewal date. The training must be related to the core knowledge categories in the Oregon Registry. </w:t>
            </w:r>
          </w:p>
        </w:tc>
        <w:tc>
          <w:tcPr>
            <w:tcW w:w="3870" w:type="dxa"/>
            <w:shd w:val="clear" w:color="auto" w:fill="auto"/>
          </w:tcPr>
          <w:p w:rsidR="001653F6" w:rsidRPr="001653F6" w:rsidRDefault="001653F6" w:rsidP="001653F6">
            <w:pPr>
              <w:rPr>
                <w:rFonts w:asciiTheme="minorHAnsi" w:hAnsiTheme="minorHAnsi"/>
                <w:sz w:val="20"/>
                <w:szCs w:val="20"/>
              </w:rPr>
            </w:pPr>
            <w:r w:rsidRPr="001653F6">
              <w:rPr>
                <w:rFonts w:ascii="Calibri" w:hAnsi="Calibri"/>
                <w:sz w:val="20"/>
                <w:szCs w:val="20"/>
              </w:rPr>
              <w:t xml:space="preserve">Completed a minimum of fifteen hours of training during the two years preceding the renewal </w:t>
            </w:r>
            <w:proofErr w:type="gramStart"/>
            <w:r w:rsidRPr="001653F6">
              <w:rPr>
                <w:rFonts w:ascii="Calibri" w:hAnsi="Calibri"/>
                <w:sz w:val="20"/>
                <w:szCs w:val="20"/>
              </w:rPr>
              <w:t>date .</w:t>
            </w:r>
            <w:proofErr w:type="gramEnd"/>
            <w:r w:rsidRPr="001653F6">
              <w:rPr>
                <w:rFonts w:ascii="Calibri" w:hAnsi="Calibri"/>
                <w:sz w:val="20"/>
                <w:szCs w:val="20"/>
              </w:rPr>
              <w:t xml:space="preserve"> The training must be related to the core knowledge categories in the Oregon Registry.</w:t>
            </w:r>
          </w:p>
        </w:tc>
        <w:tc>
          <w:tcPr>
            <w:tcW w:w="3420" w:type="dxa"/>
            <w:shd w:val="clear" w:color="auto" w:fill="auto"/>
          </w:tcPr>
          <w:p w:rsidR="001653F6" w:rsidRPr="001653F6" w:rsidRDefault="008165BE" w:rsidP="008165BE">
            <w:pPr>
              <w:rPr>
                <w:rFonts w:asciiTheme="minorHAnsi" w:hAnsiTheme="minorHAnsi"/>
                <w:sz w:val="20"/>
                <w:szCs w:val="20"/>
              </w:rPr>
            </w:pPr>
            <w:r>
              <w:rPr>
                <w:rFonts w:asciiTheme="minorHAnsi" w:hAnsiTheme="minorHAnsi"/>
                <w:sz w:val="20"/>
                <w:szCs w:val="20"/>
              </w:rPr>
              <w:t>It was proposed to increase the required training hours to 15, as</w:t>
            </w:r>
            <w:r w:rsidR="001653F6" w:rsidRPr="001653F6">
              <w:rPr>
                <w:rFonts w:asciiTheme="minorHAnsi" w:hAnsiTheme="minorHAnsi"/>
                <w:sz w:val="20"/>
                <w:szCs w:val="20"/>
              </w:rPr>
              <w:t xml:space="preserve"> the five hours of safety set training </w:t>
            </w:r>
            <w:r>
              <w:rPr>
                <w:rFonts w:asciiTheme="minorHAnsi" w:hAnsiTheme="minorHAnsi"/>
                <w:sz w:val="20"/>
                <w:szCs w:val="20"/>
              </w:rPr>
              <w:t xml:space="preserve">will not be counted </w:t>
            </w:r>
            <w:r w:rsidR="001653F6" w:rsidRPr="001653F6">
              <w:rPr>
                <w:rFonts w:asciiTheme="minorHAnsi" w:hAnsiTheme="minorHAnsi"/>
                <w:sz w:val="20"/>
                <w:szCs w:val="20"/>
              </w:rPr>
              <w:t>as part of their required training hours.</w:t>
            </w:r>
            <w:r>
              <w:rPr>
                <w:rFonts w:asciiTheme="minorHAnsi" w:hAnsiTheme="minorHAnsi"/>
                <w:sz w:val="20"/>
                <w:szCs w:val="20"/>
              </w:rPr>
              <w:t xml:space="preserve"> Safety set training hours could total eight hours.</w:t>
            </w:r>
          </w:p>
        </w:tc>
      </w:tr>
      <w:tr w:rsidR="00240178" w:rsidTr="001653F6">
        <w:tc>
          <w:tcPr>
            <w:tcW w:w="3528" w:type="dxa"/>
            <w:shd w:val="clear" w:color="auto" w:fill="FFFFFF" w:themeFill="background1"/>
          </w:tcPr>
          <w:p w:rsidR="00240178" w:rsidRPr="001653F6" w:rsidRDefault="00240178" w:rsidP="00021BAB">
            <w:pPr>
              <w:rPr>
                <w:rFonts w:asciiTheme="minorHAnsi" w:hAnsiTheme="minorHAnsi"/>
                <w:sz w:val="20"/>
                <w:szCs w:val="20"/>
              </w:rPr>
            </w:pPr>
            <w:r w:rsidRPr="001653F6">
              <w:rPr>
                <w:rFonts w:asciiTheme="minorHAnsi" w:hAnsiTheme="minorHAnsi"/>
                <w:sz w:val="20"/>
                <w:szCs w:val="20"/>
              </w:rPr>
              <w:t>Two of the 20 hours must be in Guidance and Discipline.</w:t>
            </w:r>
          </w:p>
        </w:tc>
        <w:tc>
          <w:tcPr>
            <w:tcW w:w="3780" w:type="dxa"/>
            <w:shd w:val="clear" w:color="auto" w:fill="FFFFFF" w:themeFill="background1"/>
          </w:tcPr>
          <w:p w:rsidR="00240178" w:rsidRPr="00E33BC5" w:rsidRDefault="00240178" w:rsidP="00021BAB">
            <w:pPr>
              <w:rPr>
                <w:rFonts w:asciiTheme="minorHAnsi" w:hAnsiTheme="minorHAnsi"/>
                <w:i/>
                <w:sz w:val="20"/>
                <w:szCs w:val="20"/>
              </w:rPr>
            </w:pPr>
            <w:r w:rsidRPr="00E33BC5">
              <w:rPr>
                <w:rFonts w:asciiTheme="minorHAnsi" w:hAnsiTheme="minorHAnsi"/>
                <w:i/>
                <w:sz w:val="20"/>
                <w:szCs w:val="20"/>
              </w:rPr>
              <w:t>Not a current rule.</w:t>
            </w:r>
          </w:p>
        </w:tc>
        <w:tc>
          <w:tcPr>
            <w:tcW w:w="3870" w:type="dxa"/>
            <w:shd w:val="clear" w:color="auto" w:fill="FFFFFF" w:themeFill="background1"/>
          </w:tcPr>
          <w:p w:rsidR="00240178" w:rsidRPr="001653F6" w:rsidRDefault="00240178" w:rsidP="009D28C3">
            <w:pPr>
              <w:rPr>
                <w:rFonts w:asciiTheme="minorHAnsi" w:hAnsiTheme="minorHAnsi"/>
                <w:sz w:val="20"/>
                <w:szCs w:val="20"/>
              </w:rPr>
            </w:pPr>
            <w:r w:rsidRPr="001653F6">
              <w:rPr>
                <w:rFonts w:ascii="Calibri" w:hAnsi="Calibri"/>
                <w:sz w:val="20"/>
                <w:szCs w:val="20"/>
                <w:shd w:val="clear" w:color="auto" w:fill="FFFFFF"/>
              </w:rPr>
              <w:t>At least two hours must be on Guidance and Discipline</w:t>
            </w:r>
          </w:p>
        </w:tc>
        <w:tc>
          <w:tcPr>
            <w:tcW w:w="3420" w:type="dxa"/>
            <w:shd w:val="clear" w:color="auto" w:fill="FFFFFF" w:themeFill="background1"/>
          </w:tcPr>
          <w:p w:rsidR="00240178" w:rsidRPr="001653F6" w:rsidRDefault="00240178" w:rsidP="00F62632">
            <w:pPr>
              <w:rPr>
                <w:rFonts w:asciiTheme="minorHAnsi" w:hAnsiTheme="minorHAnsi"/>
                <w:sz w:val="20"/>
                <w:szCs w:val="20"/>
              </w:rPr>
            </w:pPr>
            <w:r>
              <w:rPr>
                <w:rFonts w:asciiTheme="minorHAnsi" w:hAnsiTheme="minorHAnsi"/>
                <w:sz w:val="20"/>
                <w:szCs w:val="20"/>
              </w:rPr>
              <w:t>Same rule proposed for RF, CF, CC and SA.</w:t>
            </w:r>
          </w:p>
        </w:tc>
      </w:tr>
      <w:tr w:rsidR="001653F6" w:rsidTr="001653F6">
        <w:tc>
          <w:tcPr>
            <w:tcW w:w="3528" w:type="dxa"/>
            <w:shd w:val="clear" w:color="auto" w:fill="FFFFFF" w:themeFill="background1"/>
          </w:tcPr>
          <w:p w:rsidR="001653F6" w:rsidRPr="001653F6" w:rsidRDefault="00822A13" w:rsidP="00021BAB">
            <w:pPr>
              <w:rPr>
                <w:rFonts w:asciiTheme="minorHAnsi" w:hAnsiTheme="minorHAnsi"/>
                <w:sz w:val="20"/>
                <w:szCs w:val="20"/>
              </w:rPr>
            </w:pPr>
            <w:r>
              <w:rPr>
                <w:rFonts w:asciiTheme="minorHAnsi" w:hAnsiTheme="minorHAnsi"/>
                <w:sz w:val="20"/>
                <w:szCs w:val="20"/>
              </w:rPr>
              <w:t xml:space="preserve">Four of the 20 hours </w:t>
            </w:r>
            <w:r w:rsidR="001653F6" w:rsidRPr="001653F6">
              <w:rPr>
                <w:rFonts w:asciiTheme="minorHAnsi" w:hAnsiTheme="minorHAnsi"/>
                <w:sz w:val="20"/>
                <w:szCs w:val="20"/>
              </w:rPr>
              <w:t>must be in Program Management during the first two years or evidence that they meet that requirement in ORO.</w:t>
            </w:r>
          </w:p>
        </w:tc>
        <w:tc>
          <w:tcPr>
            <w:tcW w:w="3780" w:type="dxa"/>
            <w:shd w:val="clear" w:color="auto" w:fill="FFFFFF" w:themeFill="background1"/>
          </w:tcPr>
          <w:p w:rsidR="001653F6" w:rsidRPr="00E33BC5" w:rsidRDefault="001653F6" w:rsidP="00021BAB">
            <w:pPr>
              <w:rPr>
                <w:rFonts w:asciiTheme="minorHAnsi" w:hAnsiTheme="minorHAnsi"/>
                <w:i/>
                <w:sz w:val="20"/>
                <w:szCs w:val="20"/>
              </w:rPr>
            </w:pPr>
            <w:r w:rsidRPr="00E33BC5">
              <w:rPr>
                <w:rFonts w:asciiTheme="minorHAnsi" w:hAnsiTheme="minorHAnsi"/>
                <w:i/>
                <w:sz w:val="20"/>
                <w:szCs w:val="20"/>
              </w:rPr>
              <w:t>Not a current rule.</w:t>
            </w:r>
          </w:p>
        </w:tc>
        <w:tc>
          <w:tcPr>
            <w:tcW w:w="3870" w:type="dxa"/>
            <w:shd w:val="clear" w:color="auto" w:fill="FFFFFF" w:themeFill="background1"/>
          </w:tcPr>
          <w:p w:rsidR="001653F6" w:rsidRPr="001653F6" w:rsidRDefault="001653F6" w:rsidP="009D28C3">
            <w:pPr>
              <w:rPr>
                <w:rFonts w:asciiTheme="minorHAnsi" w:hAnsiTheme="minorHAnsi"/>
                <w:sz w:val="20"/>
                <w:szCs w:val="20"/>
              </w:rPr>
            </w:pPr>
            <w:r w:rsidRPr="001653F6">
              <w:rPr>
                <w:rFonts w:ascii="Calibri" w:hAnsi="Calibri"/>
                <w:sz w:val="20"/>
                <w:szCs w:val="20"/>
              </w:rPr>
              <w:t>During the first licensing period, at least four hours need to be in program manag</w:t>
            </w:r>
            <w:r>
              <w:rPr>
                <w:rFonts w:ascii="Calibri" w:hAnsi="Calibri"/>
                <w:sz w:val="20"/>
                <w:szCs w:val="20"/>
              </w:rPr>
              <w:t>e</w:t>
            </w:r>
            <w:r w:rsidRPr="001653F6">
              <w:rPr>
                <w:rFonts w:ascii="Calibri" w:hAnsi="Calibri"/>
                <w:sz w:val="20"/>
                <w:szCs w:val="20"/>
              </w:rPr>
              <w:t>ment.</w:t>
            </w:r>
          </w:p>
        </w:tc>
        <w:tc>
          <w:tcPr>
            <w:tcW w:w="3420" w:type="dxa"/>
            <w:shd w:val="clear" w:color="auto" w:fill="FFFFFF" w:themeFill="background1"/>
          </w:tcPr>
          <w:p w:rsidR="001653F6" w:rsidRPr="001653F6" w:rsidRDefault="001653F6" w:rsidP="009D28C3">
            <w:pPr>
              <w:rPr>
                <w:rFonts w:asciiTheme="minorHAnsi" w:hAnsiTheme="minorHAnsi"/>
                <w:sz w:val="20"/>
                <w:szCs w:val="20"/>
              </w:rPr>
            </w:pPr>
          </w:p>
        </w:tc>
      </w:tr>
      <w:tr w:rsidR="001653F6" w:rsidTr="001653F6">
        <w:tc>
          <w:tcPr>
            <w:tcW w:w="3528" w:type="dxa"/>
            <w:shd w:val="clear" w:color="auto" w:fill="FFFFFF" w:themeFill="background1"/>
          </w:tcPr>
          <w:p w:rsidR="001653F6" w:rsidRPr="001653F6" w:rsidRDefault="001653F6" w:rsidP="00021BAB">
            <w:pPr>
              <w:rPr>
                <w:rFonts w:asciiTheme="minorHAnsi" w:hAnsiTheme="minorHAnsi"/>
                <w:sz w:val="20"/>
                <w:szCs w:val="20"/>
              </w:rPr>
            </w:pPr>
          </w:p>
        </w:tc>
        <w:tc>
          <w:tcPr>
            <w:tcW w:w="3780" w:type="dxa"/>
            <w:shd w:val="clear" w:color="auto" w:fill="FFFFFF" w:themeFill="background1"/>
          </w:tcPr>
          <w:p w:rsidR="001653F6" w:rsidRPr="001653F6" w:rsidRDefault="001653F6" w:rsidP="00FE3814">
            <w:pPr>
              <w:rPr>
                <w:rFonts w:asciiTheme="minorHAnsi" w:hAnsiTheme="minorHAnsi"/>
                <w:sz w:val="20"/>
                <w:szCs w:val="20"/>
              </w:rPr>
            </w:pPr>
            <w:r w:rsidRPr="001653F6">
              <w:rPr>
                <w:rFonts w:asciiTheme="minorHAnsi" w:hAnsiTheme="minorHAnsi"/>
                <w:color w:val="000000"/>
                <w:sz w:val="20"/>
                <w:szCs w:val="20"/>
                <w:shd w:val="clear" w:color="auto" w:fill="FFFFFF"/>
              </w:rPr>
              <w:t xml:space="preserve">At least six clock hours of the ten hours of training must be in child development or early childhood education. </w:t>
            </w:r>
          </w:p>
        </w:tc>
        <w:tc>
          <w:tcPr>
            <w:tcW w:w="3870" w:type="dxa"/>
            <w:shd w:val="clear" w:color="auto" w:fill="FFFFFF" w:themeFill="background1"/>
          </w:tcPr>
          <w:p w:rsidR="001653F6" w:rsidRPr="001653F6" w:rsidRDefault="001653F6" w:rsidP="001653F6">
            <w:pPr>
              <w:rPr>
                <w:rFonts w:asciiTheme="minorHAnsi" w:hAnsiTheme="minorHAnsi"/>
                <w:sz w:val="20"/>
                <w:szCs w:val="20"/>
              </w:rPr>
            </w:pPr>
            <w:r w:rsidRPr="001653F6">
              <w:rPr>
                <w:rFonts w:asciiTheme="minorHAnsi" w:hAnsiTheme="minorHAnsi"/>
                <w:sz w:val="20"/>
                <w:szCs w:val="20"/>
              </w:rPr>
              <w:t xml:space="preserve">At least </w:t>
            </w:r>
            <w:r>
              <w:rPr>
                <w:rFonts w:asciiTheme="minorHAnsi" w:hAnsiTheme="minorHAnsi"/>
                <w:sz w:val="20"/>
                <w:szCs w:val="20"/>
              </w:rPr>
              <w:t>eight</w:t>
            </w:r>
            <w:r w:rsidRPr="001653F6">
              <w:rPr>
                <w:rFonts w:asciiTheme="minorHAnsi" w:hAnsiTheme="minorHAnsi"/>
                <w:sz w:val="20"/>
                <w:szCs w:val="20"/>
              </w:rPr>
              <w:t xml:space="preserve"> of the 15 hours must be in child development or early childhood education.</w:t>
            </w:r>
          </w:p>
        </w:tc>
        <w:tc>
          <w:tcPr>
            <w:tcW w:w="3420" w:type="dxa"/>
            <w:shd w:val="clear" w:color="auto" w:fill="FFFFFF" w:themeFill="background1"/>
          </w:tcPr>
          <w:p w:rsidR="001653F6" w:rsidRPr="001653F6" w:rsidRDefault="00E33BC5" w:rsidP="009D28C3">
            <w:pPr>
              <w:rPr>
                <w:rFonts w:asciiTheme="minorHAnsi" w:hAnsiTheme="minorHAnsi"/>
                <w:sz w:val="20"/>
                <w:szCs w:val="20"/>
              </w:rPr>
            </w:pPr>
            <w:r>
              <w:rPr>
                <w:rFonts w:asciiTheme="minorHAnsi" w:hAnsiTheme="minorHAnsi"/>
                <w:sz w:val="20"/>
                <w:szCs w:val="20"/>
              </w:rPr>
              <w:t>Increased required child development or early childhood education hours in response to the increase in overall required training hours for the provider.</w:t>
            </w:r>
          </w:p>
        </w:tc>
      </w:tr>
      <w:tr w:rsidR="00150017" w:rsidTr="003E3093">
        <w:tc>
          <w:tcPr>
            <w:tcW w:w="14598" w:type="dxa"/>
            <w:gridSpan w:val="4"/>
            <w:shd w:val="clear" w:color="auto" w:fill="FFFFFF" w:themeFill="background1"/>
          </w:tcPr>
          <w:p w:rsidR="00150017" w:rsidRPr="00150017" w:rsidRDefault="00150017" w:rsidP="00F62632">
            <w:pPr>
              <w:rPr>
                <w:rFonts w:asciiTheme="minorHAnsi" w:hAnsiTheme="minorHAnsi"/>
                <w:sz w:val="32"/>
                <w:szCs w:val="32"/>
              </w:rPr>
            </w:pPr>
            <w:r w:rsidRPr="00150017">
              <w:rPr>
                <w:rFonts w:asciiTheme="minorHAnsi" w:hAnsiTheme="minorHAnsi"/>
                <w:sz w:val="32"/>
                <w:szCs w:val="32"/>
              </w:rPr>
              <w:t>Equity considerations:</w:t>
            </w:r>
          </w:p>
          <w:p w:rsidR="00150017" w:rsidRPr="007C26FF" w:rsidRDefault="007C26FF" w:rsidP="00F62632">
            <w:pPr>
              <w:rPr>
                <w:rFonts w:asciiTheme="minorHAnsi" w:hAnsiTheme="minorHAnsi"/>
                <w:szCs w:val="24"/>
              </w:rPr>
            </w:pPr>
            <w:r w:rsidRPr="007C26FF">
              <w:rPr>
                <w:rFonts w:asciiTheme="minorHAnsi" w:hAnsiTheme="minorHAnsi"/>
                <w:szCs w:val="24"/>
              </w:rPr>
              <w:t>Limited training in languages other than English. CCR&amp;Rs provide training in Spanish, Russian, Vietnamese and Chinese. Inadequate options for providers for higher level and ongoing training. Training for population outside of the five language options are challenging to accommodate.</w:t>
            </w:r>
          </w:p>
          <w:p w:rsidR="00150017" w:rsidRPr="007C26FF" w:rsidRDefault="00150017" w:rsidP="00F62632">
            <w:pPr>
              <w:rPr>
                <w:rFonts w:asciiTheme="minorHAnsi" w:hAnsiTheme="minorHAnsi"/>
                <w:szCs w:val="24"/>
              </w:rPr>
            </w:pPr>
          </w:p>
          <w:p w:rsidR="00150017" w:rsidRPr="007C26FF" w:rsidRDefault="007C26FF" w:rsidP="00F62632">
            <w:pPr>
              <w:rPr>
                <w:rFonts w:asciiTheme="minorHAnsi" w:hAnsiTheme="minorHAnsi"/>
                <w:szCs w:val="24"/>
              </w:rPr>
            </w:pPr>
            <w:r>
              <w:rPr>
                <w:rFonts w:asciiTheme="minorHAnsi" w:hAnsiTheme="minorHAnsi"/>
                <w:szCs w:val="24"/>
              </w:rPr>
              <w:t>Committee conversation:</w:t>
            </w:r>
          </w:p>
          <w:p w:rsidR="00150017" w:rsidRDefault="00150017" w:rsidP="00F62632">
            <w:pPr>
              <w:rPr>
                <w:rFonts w:asciiTheme="minorHAnsi" w:hAnsiTheme="minorHAnsi"/>
                <w:sz w:val="20"/>
                <w:szCs w:val="20"/>
              </w:rPr>
            </w:pPr>
          </w:p>
          <w:p w:rsidR="00150017" w:rsidRDefault="00150017" w:rsidP="00F62632">
            <w:pPr>
              <w:rPr>
                <w:rFonts w:asciiTheme="minorHAnsi" w:hAnsiTheme="minorHAnsi"/>
                <w:sz w:val="20"/>
                <w:szCs w:val="20"/>
              </w:rPr>
            </w:pPr>
          </w:p>
          <w:p w:rsidR="00150017" w:rsidRDefault="00150017" w:rsidP="00F62632">
            <w:pPr>
              <w:rPr>
                <w:rFonts w:asciiTheme="minorHAnsi" w:hAnsiTheme="minorHAnsi"/>
                <w:sz w:val="20"/>
                <w:szCs w:val="20"/>
              </w:rPr>
            </w:pPr>
          </w:p>
          <w:p w:rsidR="00150017" w:rsidRDefault="00150017" w:rsidP="00F62632">
            <w:pPr>
              <w:rPr>
                <w:rFonts w:asciiTheme="minorHAnsi" w:hAnsiTheme="minorHAnsi"/>
                <w:sz w:val="20"/>
                <w:szCs w:val="20"/>
              </w:rPr>
            </w:pPr>
          </w:p>
          <w:p w:rsidR="00150017" w:rsidRDefault="00150017" w:rsidP="00F62632">
            <w:pPr>
              <w:rPr>
                <w:rFonts w:asciiTheme="minorHAnsi" w:hAnsiTheme="minorHAnsi"/>
                <w:sz w:val="20"/>
                <w:szCs w:val="20"/>
              </w:rPr>
            </w:pPr>
          </w:p>
          <w:p w:rsidR="00150017" w:rsidRDefault="00150017" w:rsidP="00F62632">
            <w:pPr>
              <w:rPr>
                <w:rFonts w:asciiTheme="minorHAnsi" w:hAnsiTheme="minorHAnsi"/>
                <w:sz w:val="20"/>
                <w:szCs w:val="20"/>
              </w:rPr>
            </w:pPr>
          </w:p>
        </w:tc>
      </w:tr>
    </w:tbl>
    <w:p w:rsidR="00E470D2" w:rsidRDefault="00E470D2">
      <w:bookmarkStart w:id="0" w:name="_GoBack"/>
      <w:bookmarkEnd w:id="0"/>
    </w:p>
    <w:sectPr w:rsidR="00E470D2" w:rsidSect="00661174">
      <w:headerReference w:type="default" r:id="rId9"/>
      <w:pgSz w:w="15840" w:h="12240" w:orient="landscape"/>
      <w:pgMar w:top="720" w:right="720" w:bottom="27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FFC" w:rsidRDefault="005B2FFC" w:rsidP="00B63A82">
      <w:pPr>
        <w:spacing w:after="0" w:line="240" w:lineRule="auto"/>
      </w:pPr>
      <w:r>
        <w:separator/>
      </w:r>
    </w:p>
  </w:endnote>
  <w:endnote w:type="continuationSeparator" w:id="0">
    <w:p w:rsidR="005B2FFC" w:rsidRDefault="005B2FFC" w:rsidP="00B63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FFC" w:rsidRDefault="005B2FFC" w:rsidP="00B63A82">
      <w:pPr>
        <w:spacing w:after="0" w:line="240" w:lineRule="auto"/>
      </w:pPr>
      <w:r>
        <w:separator/>
      </w:r>
    </w:p>
  </w:footnote>
  <w:footnote w:type="continuationSeparator" w:id="0">
    <w:p w:rsidR="005B2FFC" w:rsidRDefault="005B2FFC" w:rsidP="00B63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187" w:rsidRDefault="001D4F50" w:rsidP="003F4187">
    <w:pPr>
      <w:pStyle w:val="NoSpacing"/>
      <w:rPr>
        <w:rFonts w:ascii="Cambria" w:hAnsi="Cambria"/>
        <w:sz w:val="36"/>
        <w:szCs w:val="28"/>
      </w:rPr>
    </w:pPr>
    <w:r>
      <w:rPr>
        <w:rFonts w:ascii="Cambria" w:hAnsi="Cambria"/>
        <w:sz w:val="36"/>
        <w:szCs w:val="28"/>
      </w:rPr>
      <w:t>Staff Training</w:t>
    </w:r>
  </w:p>
  <w:p w:rsidR="006A586D" w:rsidRPr="006A586D" w:rsidRDefault="00B23F59" w:rsidP="003F4187">
    <w:pPr>
      <w:pStyle w:val="NoSpacing"/>
      <w:rPr>
        <w:rFonts w:ascii="Cambria" w:eastAsia="Cambria" w:hAnsi="Cambria" w:cs="Cambria"/>
        <w:szCs w:val="28"/>
      </w:rPr>
    </w:pPr>
    <w:r>
      <w:rPr>
        <w:rFonts w:ascii="Cambria" w:hAnsi="Cambria"/>
        <w:szCs w:val="28"/>
      </w:rPr>
      <w:t>Equity Implementation</w:t>
    </w:r>
    <w:r w:rsidR="006A586D" w:rsidRPr="006A586D">
      <w:rPr>
        <w:rFonts w:ascii="Cambria" w:hAnsi="Cambria"/>
        <w:szCs w:val="28"/>
      </w:rPr>
      <w:t xml:space="preserve"> Committee June </w:t>
    </w:r>
    <w:r>
      <w:rPr>
        <w:rFonts w:ascii="Cambria" w:hAnsi="Cambria"/>
        <w:szCs w:val="28"/>
      </w:rPr>
      <w:t>20</w:t>
    </w:r>
    <w:r w:rsidR="006A586D" w:rsidRPr="006A586D">
      <w:rPr>
        <w:rFonts w:ascii="Cambria" w:hAnsi="Cambria"/>
        <w:szCs w:val="28"/>
      </w:rPr>
      <w:t>, 2017</w:t>
    </w:r>
  </w:p>
  <w:p w:rsidR="003F4187" w:rsidRDefault="003F4187" w:rsidP="003F4187">
    <w:pPr>
      <w:pStyle w:val="NoSpacing"/>
      <w:rPr>
        <w:rFonts w:eastAsia="Cambria" w:hAnsi="Cambria" w:cs="Cambria"/>
        <w:sz w:val="6"/>
        <w:szCs w:val="6"/>
      </w:rPr>
    </w:pPr>
  </w:p>
  <w:p w:rsidR="003F4187" w:rsidRDefault="003F4187" w:rsidP="003F4187">
    <w:pPr>
      <w:pStyle w:val="NoSpacing"/>
      <w:rPr>
        <w:rFonts w:eastAsia="Cambria" w:hAnsi="Cambria" w:cs="Cambria"/>
        <w:sz w:val="2"/>
        <w:szCs w:val="2"/>
      </w:rPr>
    </w:pPr>
    <w:r>
      <w:rPr>
        <w:rFonts w:eastAsia="Cambria" w:hAnsi="Cambria" w:cs="Cambria"/>
        <w:noProof/>
        <w:sz w:val="2"/>
        <w:szCs w:val="2"/>
      </w:rPr>
      <mc:AlternateContent>
        <mc:Choice Requires="wpg">
          <w:drawing>
            <wp:inline distT="0" distB="0" distL="0" distR="0" wp14:anchorId="687DED46" wp14:editId="4204772A">
              <wp:extent cx="8279765" cy="13970"/>
              <wp:effectExtent l="0" t="0" r="6985" b="508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79765" cy="13970"/>
                        <a:chOff x="0" y="0"/>
                        <a:chExt cx="13039" cy="22"/>
                      </a:xfrm>
                    </wpg:grpSpPr>
                    <wpg:grpSp>
                      <wpg:cNvPr id="2" name="Group 2"/>
                      <wpg:cNvGrpSpPr>
                        <a:grpSpLocks/>
                      </wpg:cNvGrpSpPr>
                      <wpg:grpSpPr bwMode="auto">
                        <a:xfrm>
                          <a:off x="11" y="11"/>
                          <a:ext cx="13018" cy="2"/>
                          <a:chOff x="11" y="11"/>
                          <a:chExt cx="13018" cy="2"/>
                        </a:xfrm>
                      </wpg:grpSpPr>
                      <wps:wsp>
                        <wps:cNvPr id="3" name="Freeform 3"/>
                        <wps:cNvSpPr>
                          <a:spLocks/>
                        </wps:cNvSpPr>
                        <wps:spPr bwMode="auto">
                          <a:xfrm>
                            <a:off x="11" y="11"/>
                            <a:ext cx="13018" cy="2"/>
                          </a:xfrm>
                          <a:custGeom>
                            <a:avLst/>
                            <a:gdLst>
                              <a:gd name="T0" fmla="+- 0 11 11"/>
                              <a:gd name="T1" fmla="*/ T0 w 13018"/>
                              <a:gd name="T2" fmla="+- 0 13028 11"/>
                              <a:gd name="T3" fmla="*/ T2 w 13018"/>
                            </a:gdLst>
                            <a:ahLst/>
                            <a:cxnLst>
                              <a:cxn ang="0">
                                <a:pos x="T1" y="0"/>
                              </a:cxn>
                              <a:cxn ang="0">
                                <a:pos x="T3" y="0"/>
                              </a:cxn>
                            </a:cxnLst>
                            <a:rect l="0" t="0" r="r" b="b"/>
                            <a:pathLst>
                              <a:path w="13018">
                                <a:moveTo>
                                  <a:pt x="0" y="0"/>
                                </a:moveTo>
                                <a:lnTo>
                                  <a:pt x="13017"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 o:spid="_x0000_s1026" style="width:651.95pt;height:1.1pt;mso-position-horizontal-relative:char;mso-position-vertical-relative:line" coordsize="130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">
              <v:group id="Group 2" o:spid="_x0000_s1027" style="position:absolute;left:11;top:11;width:13018;height:2" coordorigin="11,11" coordsize="130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3" o:spid="_x0000_s1028" style="position:absolute;left:11;top:11;width:13018;height:2;visibility:visible;mso-wrap-style:square;v-text-anchor:top" coordsize="13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WhdMMA&#10;AADaAAAADwAAAGRycy9kb3ducmV2LnhtbESPQWvCQBSE74L/YXlCL1I3tqSUNBtRoaCHIlWh10f2&#10;NRuafRt2V5P+e7dQ8DjMzDdMuRptJ67kQ+tYwXKRgSCunW65UXA+vT++gggRWWPnmBT8UoBVNZ2U&#10;WGg38Cddj7ERCcKhQAUmxr6QMtSGLIaF64mT9+28xZikb6T2OCS47eRTlr1Iiy2nBYM9bQ3VP8eL&#10;VTDsLtKu8/3Bf7W5rZe5wY/5RqmH2bh+AxFpjPfwf3unFTzD35V0A2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WhdMMAAADaAAAADwAAAAAAAAAAAAAAAACYAgAAZHJzL2Rv&#10;d25yZXYueG1sUEsFBgAAAAAEAAQA9QAAAIgDAAAAAA==&#10;" path="m,l13017,e" filled="f" strokecolor="#4f81bd" strokeweight="1.06pt">
                  <v:path arrowok="t" o:connecttype="custom" o:connectlocs="0,0;13017,0" o:connectangles="0,0"/>
                </v:shape>
              </v:group>
              <w10:anchorlock/>
            </v:group>
          </w:pict>
        </mc:Fallback>
      </mc:AlternateContent>
    </w:r>
  </w:p>
  <w:p w:rsidR="00B63A82" w:rsidRDefault="00B63A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39A"/>
    <w:multiLevelType w:val="hybridMultilevel"/>
    <w:tmpl w:val="70107D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A3CB9"/>
    <w:multiLevelType w:val="hybridMultilevel"/>
    <w:tmpl w:val="04AEF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D301D"/>
    <w:multiLevelType w:val="hybridMultilevel"/>
    <w:tmpl w:val="234801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807D8"/>
    <w:multiLevelType w:val="hybridMultilevel"/>
    <w:tmpl w:val="12909E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2843C9"/>
    <w:multiLevelType w:val="hybridMultilevel"/>
    <w:tmpl w:val="71960B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5808CB"/>
    <w:multiLevelType w:val="hybridMultilevel"/>
    <w:tmpl w:val="428084C4"/>
    <w:lvl w:ilvl="0" w:tplc="4948B6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C461118"/>
    <w:multiLevelType w:val="hybridMultilevel"/>
    <w:tmpl w:val="095460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BF1B64"/>
    <w:multiLevelType w:val="hybridMultilevel"/>
    <w:tmpl w:val="137CD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18586B"/>
    <w:multiLevelType w:val="multilevel"/>
    <w:tmpl w:val="7338C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99006A"/>
    <w:multiLevelType w:val="hybridMultilevel"/>
    <w:tmpl w:val="3370DF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1A29D3"/>
    <w:multiLevelType w:val="hybridMultilevel"/>
    <w:tmpl w:val="0D0E24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9E1EBA"/>
    <w:multiLevelType w:val="hybridMultilevel"/>
    <w:tmpl w:val="FE26AD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
  </w:num>
  <w:num w:numId="4">
    <w:abstractNumId w:val="7"/>
  </w:num>
  <w:num w:numId="5">
    <w:abstractNumId w:val="8"/>
  </w:num>
  <w:num w:numId="6">
    <w:abstractNumId w:val="6"/>
  </w:num>
  <w:num w:numId="7">
    <w:abstractNumId w:val="1"/>
  </w:num>
  <w:num w:numId="8">
    <w:abstractNumId w:val="4"/>
  </w:num>
  <w:num w:numId="9">
    <w:abstractNumId w:val="3"/>
  </w:num>
  <w:num w:numId="10">
    <w:abstractNumId w:val="1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82"/>
    <w:rsid w:val="00010412"/>
    <w:rsid w:val="0004490F"/>
    <w:rsid w:val="000873E2"/>
    <w:rsid w:val="000A7BE2"/>
    <w:rsid w:val="000D2CBC"/>
    <w:rsid w:val="000D43E9"/>
    <w:rsid w:val="000D5E09"/>
    <w:rsid w:val="000E0B8C"/>
    <w:rsid w:val="000E22F3"/>
    <w:rsid w:val="000F52A8"/>
    <w:rsid w:val="00150017"/>
    <w:rsid w:val="00160083"/>
    <w:rsid w:val="001635FD"/>
    <w:rsid w:val="001653F6"/>
    <w:rsid w:val="001857CC"/>
    <w:rsid w:val="001A579F"/>
    <w:rsid w:val="001A731D"/>
    <w:rsid w:val="001B0399"/>
    <w:rsid w:val="001B5C5C"/>
    <w:rsid w:val="001D49BC"/>
    <w:rsid w:val="001D4F50"/>
    <w:rsid w:val="001D5392"/>
    <w:rsid w:val="001F29B3"/>
    <w:rsid w:val="00240178"/>
    <w:rsid w:val="00241821"/>
    <w:rsid w:val="00286FD8"/>
    <w:rsid w:val="00336D67"/>
    <w:rsid w:val="00346D93"/>
    <w:rsid w:val="00370A2C"/>
    <w:rsid w:val="0037154A"/>
    <w:rsid w:val="003C43E5"/>
    <w:rsid w:val="003C7513"/>
    <w:rsid w:val="003D28C1"/>
    <w:rsid w:val="003E3109"/>
    <w:rsid w:val="003F4187"/>
    <w:rsid w:val="00431FB3"/>
    <w:rsid w:val="0043765F"/>
    <w:rsid w:val="00447931"/>
    <w:rsid w:val="00475F76"/>
    <w:rsid w:val="004B2356"/>
    <w:rsid w:val="004D7C56"/>
    <w:rsid w:val="00517A47"/>
    <w:rsid w:val="00530CA6"/>
    <w:rsid w:val="0053366B"/>
    <w:rsid w:val="00534EA7"/>
    <w:rsid w:val="0055548D"/>
    <w:rsid w:val="00564509"/>
    <w:rsid w:val="00594511"/>
    <w:rsid w:val="005A10BE"/>
    <w:rsid w:val="005B2FFC"/>
    <w:rsid w:val="00620F0B"/>
    <w:rsid w:val="006240FB"/>
    <w:rsid w:val="00661174"/>
    <w:rsid w:val="00676932"/>
    <w:rsid w:val="00677B8E"/>
    <w:rsid w:val="006A586D"/>
    <w:rsid w:val="006F0E91"/>
    <w:rsid w:val="00703A24"/>
    <w:rsid w:val="00731D21"/>
    <w:rsid w:val="00740FAB"/>
    <w:rsid w:val="00786031"/>
    <w:rsid w:val="007B3DD0"/>
    <w:rsid w:val="007B745D"/>
    <w:rsid w:val="007C26FF"/>
    <w:rsid w:val="007C2F4D"/>
    <w:rsid w:val="007C4A29"/>
    <w:rsid w:val="007E01E9"/>
    <w:rsid w:val="007F224D"/>
    <w:rsid w:val="008165BE"/>
    <w:rsid w:val="00822A13"/>
    <w:rsid w:val="00854F61"/>
    <w:rsid w:val="00894F84"/>
    <w:rsid w:val="008B4A6C"/>
    <w:rsid w:val="008F4D1F"/>
    <w:rsid w:val="008F5F96"/>
    <w:rsid w:val="00903CBF"/>
    <w:rsid w:val="00945649"/>
    <w:rsid w:val="00A41CB6"/>
    <w:rsid w:val="00A552DB"/>
    <w:rsid w:val="00AB150C"/>
    <w:rsid w:val="00AB1EB7"/>
    <w:rsid w:val="00B23F59"/>
    <w:rsid w:val="00B2762D"/>
    <w:rsid w:val="00B63A82"/>
    <w:rsid w:val="00B752B3"/>
    <w:rsid w:val="00BF5FA8"/>
    <w:rsid w:val="00C40274"/>
    <w:rsid w:val="00C41F9F"/>
    <w:rsid w:val="00C4248A"/>
    <w:rsid w:val="00C926C8"/>
    <w:rsid w:val="00D5118E"/>
    <w:rsid w:val="00D70437"/>
    <w:rsid w:val="00DC2B04"/>
    <w:rsid w:val="00DC7422"/>
    <w:rsid w:val="00E32E12"/>
    <w:rsid w:val="00E33BC5"/>
    <w:rsid w:val="00E470D2"/>
    <w:rsid w:val="00E846F8"/>
    <w:rsid w:val="00E866F0"/>
    <w:rsid w:val="00FC2BF3"/>
    <w:rsid w:val="00FC4D75"/>
    <w:rsid w:val="00FE3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3A8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A82"/>
  </w:style>
  <w:style w:type="paragraph" w:styleId="Footer">
    <w:name w:val="footer"/>
    <w:basedOn w:val="Normal"/>
    <w:link w:val="FooterChar"/>
    <w:uiPriority w:val="99"/>
    <w:unhideWhenUsed/>
    <w:rsid w:val="00B63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A82"/>
  </w:style>
  <w:style w:type="character" w:customStyle="1" w:styleId="Heading1Char">
    <w:name w:val="Heading 1 Char"/>
    <w:basedOn w:val="DefaultParagraphFont"/>
    <w:link w:val="Heading1"/>
    <w:uiPriority w:val="9"/>
    <w:rsid w:val="00B63A82"/>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B63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A82"/>
    <w:rPr>
      <w:rFonts w:ascii="Tahoma" w:hAnsi="Tahoma" w:cs="Tahoma"/>
      <w:sz w:val="16"/>
      <w:szCs w:val="16"/>
    </w:rPr>
  </w:style>
  <w:style w:type="paragraph" w:styleId="NoSpacing">
    <w:name w:val="No Spacing"/>
    <w:uiPriority w:val="1"/>
    <w:qFormat/>
    <w:rsid w:val="003F4187"/>
    <w:pPr>
      <w:spacing w:after="0" w:line="240" w:lineRule="auto"/>
    </w:pPr>
  </w:style>
  <w:style w:type="table" w:styleId="TableGrid">
    <w:name w:val="Table Grid"/>
    <w:basedOn w:val="TableNormal"/>
    <w:uiPriority w:val="59"/>
    <w:rsid w:val="003F4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F4187"/>
    <w:pPr>
      <w:widowControl w:val="0"/>
      <w:spacing w:after="0" w:line="240" w:lineRule="auto"/>
    </w:pPr>
    <w:rPr>
      <w:rFonts w:asciiTheme="minorHAnsi" w:hAnsiTheme="minorHAnsi"/>
      <w:sz w:val="22"/>
    </w:rPr>
  </w:style>
  <w:style w:type="paragraph" w:styleId="ListParagraph">
    <w:name w:val="List Paragraph"/>
    <w:basedOn w:val="Normal"/>
    <w:uiPriority w:val="34"/>
    <w:qFormat/>
    <w:rsid w:val="007F224D"/>
    <w:pPr>
      <w:ind w:left="720"/>
      <w:contextualSpacing/>
    </w:pPr>
  </w:style>
  <w:style w:type="paragraph" w:styleId="NormalWeb">
    <w:name w:val="Normal (Web)"/>
    <w:basedOn w:val="Normal"/>
    <w:uiPriority w:val="99"/>
    <w:unhideWhenUsed/>
    <w:rsid w:val="000A7BE2"/>
    <w:pPr>
      <w:spacing w:before="100" w:beforeAutospacing="1" w:after="100" w:afterAutospacing="1" w:line="240" w:lineRule="auto"/>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3A8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A82"/>
  </w:style>
  <w:style w:type="paragraph" w:styleId="Footer">
    <w:name w:val="footer"/>
    <w:basedOn w:val="Normal"/>
    <w:link w:val="FooterChar"/>
    <w:uiPriority w:val="99"/>
    <w:unhideWhenUsed/>
    <w:rsid w:val="00B63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A82"/>
  </w:style>
  <w:style w:type="character" w:customStyle="1" w:styleId="Heading1Char">
    <w:name w:val="Heading 1 Char"/>
    <w:basedOn w:val="DefaultParagraphFont"/>
    <w:link w:val="Heading1"/>
    <w:uiPriority w:val="9"/>
    <w:rsid w:val="00B63A82"/>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B63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A82"/>
    <w:rPr>
      <w:rFonts w:ascii="Tahoma" w:hAnsi="Tahoma" w:cs="Tahoma"/>
      <w:sz w:val="16"/>
      <w:szCs w:val="16"/>
    </w:rPr>
  </w:style>
  <w:style w:type="paragraph" w:styleId="NoSpacing">
    <w:name w:val="No Spacing"/>
    <w:uiPriority w:val="1"/>
    <w:qFormat/>
    <w:rsid w:val="003F4187"/>
    <w:pPr>
      <w:spacing w:after="0" w:line="240" w:lineRule="auto"/>
    </w:pPr>
  </w:style>
  <w:style w:type="table" w:styleId="TableGrid">
    <w:name w:val="Table Grid"/>
    <w:basedOn w:val="TableNormal"/>
    <w:uiPriority w:val="59"/>
    <w:rsid w:val="003F4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F4187"/>
    <w:pPr>
      <w:widowControl w:val="0"/>
      <w:spacing w:after="0" w:line="240" w:lineRule="auto"/>
    </w:pPr>
    <w:rPr>
      <w:rFonts w:asciiTheme="minorHAnsi" w:hAnsiTheme="minorHAnsi"/>
      <w:sz w:val="22"/>
    </w:rPr>
  </w:style>
  <w:style w:type="paragraph" w:styleId="ListParagraph">
    <w:name w:val="List Paragraph"/>
    <w:basedOn w:val="Normal"/>
    <w:uiPriority w:val="34"/>
    <w:qFormat/>
    <w:rsid w:val="007F224D"/>
    <w:pPr>
      <w:ind w:left="720"/>
      <w:contextualSpacing/>
    </w:pPr>
  </w:style>
  <w:style w:type="paragraph" w:styleId="NormalWeb">
    <w:name w:val="Normal (Web)"/>
    <w:basedOn w:val="Normal"/>
    <w:uiPriority w:val="99"/>
    <w:unhideWhenUsed/>
    <w:rsid w:val="000A7BE2"/>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6114">
      <w:bodyDiv w:val="1"/>
      <w:marLeft w:val="0"/>
      <w:marRight w:val="0"/>
      <w:marTop w:val="0"/>
      <w:marBottom w:val="0"/>
      <w:divBdr>
        <w:top w:val="none" w:sz="0" w:space="0" w:color="auto"/>
        <w:left w:val="none" w:sz="0" w:space="0" w:color="auto"/>
        <w:bottom w:val="none" w:sz="0" w:space="0" w:color="auto"/>
        <w:right w:val="none" w:sz="0" w:space="0" w:color="auto"/>
      </w:divBdr>
    </w:div>
    <w:div w:id="98113169">
      <w:bodyDiv w:val="1"/>
      <w:marLeft w:val="0"/>
      <w:marRight w:val="0"/>
      <w:marTop w:val="0"/>
      <w:marBottom w:val="0"/>
      <w:divBdr>
        <w:top w:val="none" w:sz="0" w:space="0" w:color="auto"/>
        <w:left w:val="none" w:sz="0" w:space="0" w:color="auto"/>
        <w:bottom w:val="none" w:sz="0" w:space="0" w:color="auto"/>
        <w:right w:val="none" w:sz="0" w:space="0" w:color="auto"/>
      </w:divBdr>
    </w:div>
    <w:div w:id="1960061265">
      <w:bodyDiv w:val="1"/>
      <w:marLeft w:val="0"/>
      <w:marRight w:val="0"/>
      <w:marTop w:val="0"/>
      <w:marBottom w:val="0"/>
      <w:divBdr>
        <w:top w:val="none" w:sz="0" w:space="0" w:color="auto"/>
        <w:left w:val="none" w:sz="0" w:space="0" w:color="auto"/>
        <w:bottom w:val="none" w:sz="0" w:space="0" w:color="auto"/>
        <w:right w:val="none" w:sz="0" w:space="0" w:color="auto"/>
      </w:divBdr>
      <w:divsChild>
        <w:div w:id="1883785798">
          <w:marLeft w:val="0"/>
          <w:marRight w:val="0"/>
          <w:marTop w:val="100"/>
          <w:marBottom w:val="100"/>
          <w:divBdr>
            <w:top w:val="none" w:sz="0" w:space="0" w:color="auto"/>
            <w:left w:val="none" w:sz="0" w:space="0" w:color="auto"/>
            <w:bottom w:val="none" w:sz="0" w:space="0" w:color="auto"/>
            <w:right w:val="none" w:sz="0" w:space="0" w:color="auto"/>
          </w:divBdr>
          <w:divsChild>
            <w:div w:id="1167675757">
              <w:marLeft w:val="0"/>
              <w:marRight w:val="0"/>
              <w:marTop w:val="0"/>
              <w:marBottom w:val="0"/>
              <w:divBdr>
                <w:top w:val="none" w:sz="0" w:space="0" w:color="auto"/>
                <w:left w:val="none" w:sz="0" w:space="0" w:color="auto"/>
                <w:bottom w:val="none" w:sz="0" w:space="0" w:color="auto"/>
                <w:right w:val="none" w:sz="0" w:space="0" w:color="auto"/>
              </w:divBdr>
              <w:divsChild>
                <w:div w:id="998656814">
                  <w:marLeft w:val="0"/>
                  <w:marRight w:val="0"/>
                  <w:marTop w:val="0"/>
                  <w:marBottom w:val="0"/>
                  <w:divBdr>
                    <w:top w:val="none" w:sz="0" w:space="0" w:color="auto"/>
                    <w:left w:val="single" w:sz="6" w:space="11" w:color="CCCCCC"/>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7A782-2287-4D2F-BE4B-30A1CE734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Tamara L - ELD</dc:creator>
  <cp:lastModifiedBy>Kelli Walker</cp:lastModifiedBy>
  <cp:revision>3</cp:revision>
  <dcterms:created xsi:type="dcterms:W3CDTF">2017-06-15T16:36:00Z</dcterms:created>
  <dcterms:modified xsi:type="dcterms:W3CDTF">2017-06-15T16:58:00Z</dcterms:modified>
</cp:coreProperties>
</file>