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17" w:rsidRDefault="00A70AC0" w:rsidP="00B75EEA">
      <w:pPr>
        <w:spacing w:after="0"/>
        <w:jc w:val="center"/>
        <w:rPr>
          <w:b/>
          <w:color w:val="5B9BD5" w:themeColor="accent1"/>
          <w:sz w:val="24"/>
          <w:szCs w:val="24"/>
        </w:rPr>
      </w:pPr>
      <w:bookmarkStart w:id="0" w:name="_GoBack"/>
      <w:bookmarkEnd w:id="0"/>
      <w:r w:rsidRPr="00A16709">
        <w:rPr>
          <w:b/>
          <w:color w:val="5B9BD5" w:themeColor="accent1"/>
          <w:sz w:val="32"/>
          <w:szCs w:val="32"/>
        </w:rPr>
        <w:t>HRSA-17-120</w:t>
      </w:r>
      <w:r w:rsidR="008D7917" w:rsidRPr="00A16709">
        <w:rPr>
          <w:b/>
          <w:color w:val="5B9BD5" w:themeColor="accent1"/>
          <w:sz w:val="32"/>
          <w:szCs w:val="32"/>
        </w:rPr>
        <w:t xml:space="preserve"> Summary</w:t>
      </w:r>
    </w:p>
    <w:p w:rsidR="00B75EEA" w:rsidRPr="00B75EEA" w:rsidRDefault="00B75EEA" w:rsidP="005E0AF6">
      <w:pPr>
        <w:jc w:val="center"/>
        <w:rPr>
          <w:b/>
          <w:i/>
          <w:color w:val="5B9BD5" w:themeColor="accent1"/>
          <w:sz w:val="24"/>
          <w:szCs w:val="24"/>
        </w:rPr>
      </w:pPr>
      <w:r w:rsidRPr="00B75EEA">
        <w:rPr>
          <w:b/>
          <w:i/>
          <w:color w:val="5B9BD5" w:themeColor="accent1"/>
          <w:sz w:val="24"/>
          <w:szCs w:val="24"/>
        </w:rPr>
        <w:t>Due June 12 by 12:00 am EDT</w:t>
      </w:r>
    </w:p>
    <w:p w:rsidR="008D7917" w:rsidRPr="00A16709" w:rsidRDefault="008D7917" w:rsidP="00B75EEA">
      <w:pPr>
        <w:spacing w:after="0"/>
        <w:rPr>
          <w:b/>
          <w:color w:val="5B9BD5" w:themeColor="accent1"/>
        </w:rPr>
      </w:pPr>
      <w:r w:rsidRPr="00A16709">
        <w:rPr>
          <w:b/>
          <w:color w:val="5B9BD5" w:themeColor="accent1"/>
        </w:rPr>
        <w:t>KEY FEATURES</w:t>
      </w:r>
    </w:p>
    <w:p w:rsidR="00BC0AF3" w:rsidRDefault="0064070A" w:rsidP="00A70AC0">
      <w:pPr>
        <w:pStyle w:val="ListParagraph"/>
        <w:numPr>
          <w:ilvl w:val="0"/>
          <w:numId w:val="1"/>
        </w:numPr>
      </w:pPr>
      <w:r>
        <w:t>The funds are</w:t>
      </w:r>
      <w:r w:rsidR="00BC0AF3">
        <w:t xml:space="preserve"> a continuation of the fiscal year 2016 funding</w:t>
      </w:r>
      <w:r>
        <w:t>.</w:t>
      </w:r>
    </w:p>
    <w:p w:rsidR="008D7917" w:rsidRDefault="0064070A" w:rsidP="00A70AC0">
      <w:pPr>
        <w:pStyle w:val="ListParagraph"/>
        <w:numPr>
          <w:ilvl w:val="0"/>
          <w:numId w:val="1"/>
        </w:numPr>
      </w:pPr>
      <w:r>
        <w:t>The application i</w:t>
      </w:r>
      <w:r w:rsidR="008D7917">
        <w:t xml:space="preserve">s </w:t>
      </w:r>
      <w:r w:rsidR="00A70AC0">
        <w:t>an update to the work</w:t>
      </w:r>
      <w:r w:rsidR="00BC0AF3">
        <w:t xml:space="preserve"> plan and budget for HRSA-16-172</w:t>
      </w:r>
      <w:r w:rsidR="00A70AC0">
        <w:t xml:space="preserve"> Formula funding.</w:t>
      </w:r>
    </w:p>
    <w:p w:rsidR="00A70AC0" w:rsidRDefault="00A70AC0" w:rsidP="00A70AC0">
      <w:pPr>
        <w:pStyle w:val="ListParagraph"/>
        <w:numPr>
          <w:ilvl w:val="0"/>
          <w:numId w:val="1"/>
        </w:numPr>
      </w:pPr>
      <w:r>
        <w:t>Is only available to the eligible entity, which is the Recipient or Grantee administering the FY 16 Formula funds.</w:t>
      </w:r>
    </w:p>
    <w:p w:rsidR="00A70AC0" w:rsidRDefault="00A70AC0" w:rsidP="00A70AC0">
      <w:pPr>
        <w:pStyle w:val="ListParagraph"/>
        <w:numPr>
          <w:ilvl w:val="0"/>
          <w:numId w:val="1"/>
        </w:numPr>
      </w:pPr>
      <w:r>
        <w:t>Establishes a project period from September 30, 2017 through September 30, 2018.</w:t>
      </w:r>
    </w:p>
    <w:p w:rsidR="00A70AC0" w:rsidRDefault="00A70AC0" w:rsidP="00A70AC0">
      <w:pPr>
        <w:pStyle w:val="ListParagraph"/>
        <w:numPr>
          <w:ilvl w:val="0"/>
          <w:numId w:val="1"/>
        </w:numPr>
      </w:pPr>
      <w:r>
        <w:t xml:space="preserve">May not exceed the ceiling award of </w:t>
      </w:r>
      <w:r w:rsidR="006309D7">
        <w:t>$8,454,283.</w:t>
      </w:r>
    </w:p>
    <w:p w:rsidR="006F360E" w:rsidRPr="00A16709" w:rsidRDefault="006F360E" w:rsidP="00B75EEA">
      <w:pPr>
        <w:spacing w:after="0"/>
        <w:rPr>
          <w:color w:val="5B9BD5" w:themeColor="accent1"/>
        </w:rPr>
      </w:pPr>
      <w:r w:rsidRPr="00A16709">
        <w:rPr>
          <w:b/>
          <w:color w:val="5B9BD5" w:themeColor="accent1"/>
        </w:rPr>
        <w:t>REQUIREMENTS AND LIMITATIONS</w:t>
      </w:r>
    </w:p>
    <w:p w:rsidR="006F360E" w:rsidRDefault="006F360E" w:rsidP="006F360E">
      <w:pPr>
        <w:pStyle w:val="ListParagraph"/>
        <w:numPr>
          <w:ilvl w:val="0"/>
          <w:numId w:val="6"/>
        </w:numPr>
      </w:pPr>
      <w:r>
        <w:t>Funds shall be used to provide evidence-based home visiting services to</w:t>
      </w:r>
      <w:r w:rsidR="0095745D">
        <w:t xml:space="preserve"> priority populations of</w:t>
      </w:r>
      <w:r>
        <w:t xml:space="preserve"> eligible families in the at-risk communities identified by the State Needs Assessment.</w:t>
      </w:r>
    </w:p>
    <w:p w:rsidR="006F360E" w:rsidRDefault="006F360E" w:rsidP="006F360E">
      <w:pPr>
        <w:pStyle w:val="ListParagraph"/>
        <w:numPr>
          <w:ilvl w:val="0"/>
          <w:numId w:val="6"/>
        </w:numPr>
      </w:pPr>
      <w:r>
        <w:t>No more than 25% of funds may be used to explore promising approaches to home visiting.</w:t>
      </w:r>
    </w:p>
    <w:p w:rsidR="006F360E" w:rsidRDefault="006F360E" w:rsidP="006F360E">
      <w:pPr>
        <w:pStyle w:val="ListParagraph"/>
        <w:numPr>
          <w:ilvl w:val="0"/>
          <w:numId w:val="6"/>
        </w:numPr>
      </w:pPr>
      <w:r>
        <w:t>Any proposed enhancements to evidence-based practices must be approved by the Health Resources &amp; Services Administration (HRSA) and the model prior to implementation.</w:t>
      </w:r>
    </w:p>
    <w:p w:rsidR="006F360E" w:rsidRDefault="006F360E" w:rsidP="006F360E">
      <w:pPr>
        <w:pStyle w:val="ListParagraph"/>
        <w:numPr>
          <w:ilvl w:val="0"/>
          <w:numId w:val="6"/>
        </w:numPr>
      </w:pPr>
      <w:r>
        <w:t>No more that 25% of the funds can be used for supporting state infrastructure.</w:t>
      </w:r>
    </w:p>
    <w:p w:rsidR="00A41480" w:rsidRDefault="006F360E" w:rsidP="006F360E">
      <w:pPr>
        <w:pStyle w:val="ListParagraph"/>
        <w:numPr>
          <w:ilvl w:val="0"/>
          <w:numId w:val="6"/>
        </w:numPr>
      </w:pPr>
      <w:r>
        <w:t>Grant funds shall not be used for, except as provided for in the authorizing legislation, direct medical, dental, mental health or legal services.</w:t>
      </w:r>
    </w:p>
    <w:p w:rsidR="00A41480" w:rsidRDefault="00A41480" w:rsidP="006F360E">
      <w:pPr>
        <w:pStyle w:val="ListParagraph"/>
        <w:numPr>
          <w:ilvl w:val="0"/>
          <w:numId w:val="6"/>
        </w:numPr>
      </w:pPr>
      <w:r>
        <w:t>The Grantee must assure the practices of high-quality supervision, including the use of reflective practices.</w:t>
      </w:r>
    </w:p>
    <w:p w:rsidR="00A41480" w:rsidRPr="00A16709" w:rsidRDefault="00A41480" w:rsidP="00B75EEA">
      <w:pPr>
        <w:spacing w:after="0"/>
        <w:rPr>
          <w:b/>
          <w:color w:val="5B9BD5" w:themeColor="accent1"/>
        </w:rPr>
      </w:pPr>
      <w:r w:rsidRPr="00A16709">
        <w:rPr>
          <w:b/>
          <w:color w:val="5B9BD5" w:themeColor="accent1"/>
        </w:rPr>
        <w:t>GOALS AND OBJECTIVES</w:t>
      </w:r>
      <w:r w:rsidR="00040F18" w:rsidRPr="00A16709">
        <w:rPr>
          <w:b/>
          <w:color w:val="5B9BD5" w:themeColor="accent1"/>
        </w:rPr>
        <w:t xml:space="preserve"> SUMMARY</w:t>
      </w:r>
    </w:p>
    <w:p w:rsidR="00040F18" w:rsidRDefault="00A41480" w:rsidP="00040F18">
      <w:pPr>
        <w:pStyle w:val="ListParagraph"/>
        <w:numPr>
          <w:ilvl w:val="0"/>
          <w:numId w:val="10"/>
        </w:numPr>
        <w:spacing w:after="0"/>
      </w:pPr>
      <w:r w:rsidRPr="00A41480">
        <w:t>Goal One: Sustain the enrollment capacity of 805 families among the 13 at-risk communities through September 30, 2019.</w:t>
      </w:r>
    </w:p>
    <w:p w:rsidR="00040F18" w:rsidRDefault="00A41480" w:rsidP="00040F18">
      <w:pPr>
        <w:pStyle w:val="ListParagraph"/>
        <w:numPr>
          <w:ilvl w:val="0"/>
          <w:numId w:val="10"/>
        </w:numPr>
        <w:spacing w:after="0"/>
      </w:pPr>
      <w:r w:rsidRPr="00A41480">
        <w:t>Goal Two: Effectively integrate evidence-based home visiting within the comprehensive early childhood and health systems in at-risk communities by September 30, 2019.</w:t>
      </w:r>
    </w:p>
    <w:p w:rsidR="00040F18" w:rsidRDefault="00040F18" w:rsidP="00040F18">
      <w:pPr>
        <w:pStyle w:val="ListParagraph"/>
        <w:numPr>
          <w:ilvl w:val="1"/>
          <w:numId w:val="10"/>
        </w:numPr>
        <w:spacing w:after="0"/>
      </w:pPr>
      <w:r>
        <w:t>Sustain Local Coordinating Agency contracts through the project period</w:t>
      </w:r>
    </w:p>
    <w:p w:rsidR="00040F18" w:rsidRDefault="00040F18" w:rsidP="00040F18">
      <w:pPr>
        <w:pStyle w:val="ListParagraph"/>
        <w:numPr>
          <w:ilvl w:val="1"/>
          <w:numId w:val="10"/>
        </w:numPr>
        <w:spacing w:after="0"/>
      </w:pPr>
      <w:r>
        <w:t>Continue work on coordinated entry</w:t>
      </w:r>
    </w:p>
    <w:p w:rsidR="00040F18" w:rsidRDefault="00040F18" w:rsidP="00040F18">
      <w:pPr>
        <w:pStyle w:val="ListParagraph"/>
        <w:numPr>
          <w:ilvl w:val="1"/>
          <w:numId w:val="10"/>
        </w:numPr>
        <w:spacing w:after="0"/>
      </w:pPr>
      <w:r>
        <w:t>Continue work on common metrics</w:t>
      </w:r>
    </w:p>
    <w:p w:rsidR="00040F18" w:rsidRDefault="00040F18" w:rsidP="00040F18">
      <w:pPr>
        <w:pStyle w:val="ListParagraph"/>
        <w:numPr>
          <w:ilvl w:val="1"/>
          <w:numId w:val="10"/>
        </w:numPr>
        <w:spacing w:after="0"/>
      </w:pPr>
      <w:r>
        <w:t>Alignment of professional development activities</w:t>
      </w:r>
    </w:p>
    <w:p w:rsidR="00040F18" w:rsidRDefault="00040F18" w:rsidP="00040F18">
      <w:pPr>
        <w:pStyle w:val="ListParagraph"/>
        <w:numPr>
          <w:ilvl w:val="1"/>
          <w:numId w:val="10"/>
        </w:numPr>
        <w:spacing w:after="0"/>
      </w:pPr>
      <w:r>
        <w:t>Increase parent partnerships</w:t>
      </w:r>
    </w:p>
    <w:p w:rsidR="00040F18" w:rsidRDefault="00040F18" w:rsidP="00040F18">
      <w:pPr>
        <w:pStyle w:val="ListParagraph"/>
        <w:numPr>
          <w:ilvl w:val="1"/>
          <w:numId w:val="10"/>
        </w:numPr>
        <w:spacing w:after="0"/>
      </w:pPr>
      <w:r>
        <w:t xml:space="preserve">Re-establish an advisory committee </w:t>
      </w:r>
    </w:p>
    <w:p w:rsidR="00040F18" w:rsidRDefault="00040F18" w:rsidP="00A41480">
      <w:pPr>
        <w:pStyle w:val="ListParagraph"/>
        <w:numPr>
          <w:ilvl w:val="0"/>
          <w:numId w:val="10"/>
        </w:numPr>
        <w:spacing w:after="0"/>
      </w:pPr>
      <w:r w:rsidRPr="00A41480">
        <w:t>Goal Three: Improve professional capacities and capabilities among the home visiting professionals and system through programmatic and technology supports, professional development opportunities and Continuous Quality Improvement (CQI) by September 2019.</w:t>
      </w:r>
    </w:p>
    <w:p w:rsidR="00040F18" w:rsidRDefault="00040F18" w:rsidP="00040F18">
      <w:pPr>
        <w:pStyle w:val="ListParagraph"/>
        <w:numPr>
          <w:ilvl w:val="1"/>
          <w:numId w:val="10"/>
        </w:numPr>
        <w:spacing w:after="0"/>
      </w:pPr>
      <w:r>
        <w:t>Strengthen reflective practices</w:t>
      </w:r>
    </w:p>
    <w:p w:rsidR="00040F18" w:rsidRDefault="00040F18" w:rsidP="00040F18">
      <w:pPr>
        <w:pStyle w:val="ListParagraph"/>
        <w:numPr>
          <w:ilvl w:val="1"/>
          <w:numId w:val="10"/>
        </w:numPr>
        <w:spacing w:after="0"/>
      </w:pPr>
      <w:r>
        <w:t>Continue improvements and implementation to THEO</w:t>
      </w:r>
    </w:p>
    <w:p w:rsidR="00040F18" w:rsidRDefault="00040F18" w:rsidP="00040F18">
      <w:pPr>
        <w:pStyle w:val="ListParagraph"/>
        <w:numPr>
          <w:ilvl w:val="1"/>
          <w:numId w:val="10"/>
        </w:numPr>
        <w:spacing w:after="0"/>
      </w:pPr>
      <w:r>
        <w:t>Identify additional training topics for Regional professional development activities</w:t>
      </w:r>
    </w:p>
    <w:p w:rsidR="0064070A" w:rsidRDefault="00040F18" w:rsidP="00A16709">
      <w:pPr>
        <w:pStyle w:val="ListParagraph"/>
        <w:numPr>
          <w:ilvl w:val="1"/>
          <w:numId w:val="10"/>
        </w:numPr>
        <w:spacing w:after="0"/>
      </w:pPr>
      <w:r>
        <w:t>Engage in cross-sector CQI on common metrics</w:t>
      </w:r>
    </w:p>
    <w:p w:rsidR="00B75EEA" w:rsidRDefault="00B75EEA" w:rsidP="0064070A">
      <w:pPr>
        <w:spacing w:after="0"/>
      </w:pPr>
    </w:p>
    <w:p w:rsidR="00022BDB" w:rsidRDefault="0064070A" w:rsidP="0064070A">
      <w:pPr>
        <w:spacing w:after="0"/>
      </w:pPr>
      <w:r>
        <w:t xml:space="preserve">In short, this is intended to carry forward the grant activities established by the fiscal year 2016 Formula funding (HRSA-16-172) and is not designed or intended to expand evidence-based home visiting services beyond the 13 at-risk communities identified in the Statewide Needs Assessment or beyond the three </w:t>
      </w:r>
      <w:r>
        <w:lastRenderedPageBreak/>
        <w:t xml:space="preserve">models (EHS, HFA and NFP) that Oregon is currently funding. The Oregon MIECHV Program </w:t>
      </w:r>
      <w:r w:rsidR="00280030">
        <w:t>was</w:t>
      </w:r>
      <w:r>
        <w:t xml:space="preserve"> previously </w:t>
      </w:r>
      <w:r w:rsidR="00280030">
        <w:t>notified of the requirement to complete a</w:t>
      </w:r>
      <w:r>
        <w:t xml:space="preserve"> Statewide Needs Assessment in the fall of 2017; however, recently this expectation </w:t>
      </w:r>
      <w:r w:rsidR="00280030">
        <w:t>was</w:t>
      </w:r>
      <w:r>
        <w:t xml:space="preserve"> deferred by at least a year and </w:t>
      </w:r>
      <w:r w:rsidR="00280030">
        <w:t>will</w:t>
      </w:r>
      <w:r>
        <w:t xml:space="preserve"> not affect this funding or this project period.</w:t>
      </w:r>
      <w:r w:rsidR="00280030">
        <w:t xml:space="preserve"> What this means in practical terms is that the Oregon MIECHV Program will continue to fund all current grant activities until September 30, 2019. This includes important activities in Continuous Quality Improvement (CQI, system development and coordination and workforce development in addition to sustaining the enrollment of 805 according to the table here. </w:t>
      </w:r>
    </w:p>
    <w:p w:rsidR="00B75EEA" w:rsidRDefault="00B75EEA" w:rsidP="0064070A">
      <w:pPr>
        <w:spacing w:after="0"/>
      </w:pPr>
    </w:p>
    <w:tbl>
      <w:tblPr>
        <w:tblW w:w="8240" w:type="dxa"/>
        <w:tblLook w:val="04A0" w:firstRow="1" w:lastRow="0" w:firstColumn="1" w:lastColumn="0" w:noHBand="0" w:noVBand="1"/>
      </w:tblPr>
      <w:tblGrid>
        <w:gridCol w:w="1273"/>
        <w:gridCol w:w="4260"/>
        <w:gridCol w:w="931"/>
        <w:gridCol w:w="987"/>
        <w:gridCol w:w="962"/>
      </w:tblGrid>
      <w:tr w:rsidR="00022BDB" w:rsidRPr="00022BDB" w:rsidTr="00022BDB">
        <w:trPr>
          <w:trHeight w:val="315"/>
        </w:trPr>
        <w:tc>
          <w:tcPr>
            <w:tcW w:w="1100" w:type="dxa"/>
            <w:vMerge w:val="restart"/>
            <w:tcBorders>
              <w:top w:val="single" w:sz="8" w:space="0" w:color="auto"/>
              <w:left w:val="single" w:sz="8" w:space="0" w:color="auto"/>
              <w:bottom w:val="single" w:sz="4" w:space="0" w:color="000000"/>
              <w:right w:val="single" w:sz="4" w:space="0" w:color="auto"/>
            </w:tcBorders>
            <w:shd w:val="clear" w:color="000000" w:fill="70AD47"/>
            <w:noWrap/>
            <w:vAlign w:val="center"/>
            <w:hideMark/>
          </w:tcPr>
          <w:p w:rsidR="00022BDB" w:rsidRPr="00022BDB" w:rsidRDefault="00022BDB" w:rsidP="00022BDB">
            <w:pPr>
              <w:spacing w:after="0" w:line="240" w:lineRule="auto"/>
              <w:jc w:val="center"/>
              <w:rPr>
                <w:rFonts w:ascii="Calibri" w:eastAsia="Times New Roman" w:hAnsi="Calibri" w:cs="Calibri"/>
                <w:b/>
                <w:bCs/>
                <w:color w:val="000000"/>
                <w:sz w:val="24"/>
                <w:szCs w:val="24"/>
              </w:rPr>
            </w:pPr>
            <w:r w:rsidRPr="00022BDB">
              <w:rPr>
                <w:rFonts w:ascii="Calibri" w:eastAsia="Times New Roman" w:hAnsi="Calibri" w:cs="Calibri"/>
                <w:b/>
                <w:bCs/>
                <w:color w:val="000000"/>
                <w:sz w:val="24"/>
                <w:szCs w:val="24"/>
              </w:rPr>
              <w:t>County</w:t>
            </w:r>
          </w:p>
        </w:tc>
        <w:tc>
          <w:tcPr>
            <w:tcW w:w="4260" w:type="dxa"/>
            <w:vMerge w:val="restart"/>
            <w:tcBorders>
              <w:top w:val="single" w:sz="8" w:space="0" w:color="auto"/>
              <w:left w:val="single" w:sz="4" w:space="0" w:color="auto"/>
              <w:bottom w:val="single" w:sz="4" w:space="0" w:color="000000"/>
              <w:right w:val="single" w:sz="4" w:space="0" w:color="auto"/>
            </w:tcBorders>
            <w:shd w:val="clear" w:color="000000" w:fill="70AD47"/>
            <w:noWrap/>
            <w:vAlign w:val="center"/>
            <w:hideMark/>
          </w:tcPr>
          <w:p w:rsidR="00022BDB" w:rsidRPr="00022BDB" w:rsidRDefault="00022BDB" w:rsidP="00022BDB">
            <w:pPr>
              <w:spacing w:after="0" w:line="240" w:lineRule="auto"/>
              <w:jc w:val="center"/>
              <w:rPr>
                <w:rFonts w:ascii="Calibri" w:eastAsia="Times New Roman" w:hAnsi="Calibri" w:cs="Calibri"/>
                <w:b/>
                <w:bCs/>
                <w:color w:val="000000"/>
                <w:sz w:val="24"/>
                <w:szCs w:val="24"/>
              </w:rPr>
            </w:pPr>
            <w:r w:rsidRPr="00022BDB">
              <w:rPr>
                <w:rFonts w:ascii="Calibri" w:eastAsia="Times New Roman" w:hAnsi="Calibri" w:cs="Calibri"/>
                <w:b/>
                <w:bCs/>
                <w:color w:val="000000"/>
                <w:sz w:val="24"/>
                <w:szCs w:val="24"/>
              </w:rPr>
              <w:t>LIA</w:t>
            </w:r>
          </w:p>
        </w:tc>
        <w:tc>
          <w:tcPr>
            <w:tcW w:w="2880" w:type="dxa"/>
            <w:gridSpan w:val="3"/>
            <w:tcBorders>
              <w:top w:val="single" w:sz="8" w:space="0" w:color="auto"/>
              <w:left w:val="nil"/>
              <w:bottom w:val="single" w:sz="4" w:space="0" w:color="auto"/>
              <w:right w:val="single" w:sz="8" w:space="0" w:color="000000"/>
            </w:tcBorders>
            <w:shd w:val="clear" w:color="000000" w:fill="CCCCFF"/>
            <w:noWrap/>
            <w:vAlign w:val="bottom"/>
            <w:hideMark/>
          </w:tcPr>
          <w:p w:rsidR="00022BDB" w:rsidRPr="00022BDB" w:rsidRDefault="00022BDB" w:rsidP="00022BDB">
            <w:pPr>
              <w:spacing w:after="0" w:line="240" w:lineRule="auto"/>
              <w:jc w:val="center"/>
              <w:rPr>
                <w:rFonts w:ascii="Calibri" w:eastAsia="Times New Roman" w:hAnsi="Calibri" w:cs="Calibri"/>
                <w:b/>
                <w:bCs/>
                <w:color w:val="000000"/>
                <w:sz w:val="24"/>
                <w:szCs w:val="24"/>
              </w:rPr>
            </w:pPr>
            <w:r w:rsidRPr="00022BDB">
              <w:rPr>
                <w:rFonts w:ascii="Calibri" w:eastAsia="Times New Roman" w:hAnsi="Calibri" w:cs="Calibri"/>
                <w:b/>
                <w:bCs/>
                <w:color w:val="000000"/>
                <w:sz w:val="24"/>
                <w:szCs w:val="24"/>
              </w:rPr>
              <w:t>Competitive</w:t>
            </w:r>
          </w:p>
        </w:tc>
      </w:tr>
      <w:tr w:rsidR="00022BDB" w:rsidRPr="00022BDB" w:rsidTr="00022BDB">
        <w:trPr>
          <w:trHeight w:val="315"/>
        </w:trPr>
        <w:tc>
          <w:tcPr>
            <w:tcW w:w="1100" w:type="dxa"/>
            <w:vMerge/>
            <w:tcBorders>
              <w:top w:val="single" w:sz="8" w:space="0" w:color="auto"/>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b/>
                <w:bCs/>
                <w:color w:val="000000"/>
                <w:sz w:val="24"/>
                <w:szCs w:val="24"/>
              </w:rPr>
            </w:pPr>
          </w:p>
        </w:tc>
        <w:tc>
          <w:tcPr>
            <w:tcW w:w="4260" w:type="dxa"/>
            <w:vMerge/>
            <w:tcBorders>
              <w:top w:val="single" w:sz="8" w:space="0" w:color="auto"/>
              <w:left w:val="single" w:sz="4"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b/>
                <w:bCs/>
                <w:color w:val="000000"/>
                <w:sz w:val="24"/>
                <w:szCs w:val="24"/>
              </w:rPr>
            </w:pPr>
          </w:p>
        </w:tc>
        <w:tc>
          <w:tcPr>
            <w:tcW w:w="931" w:type="dxa"/>
            <w:tcBorders>
              <w:top w:val="nil"/>
              <w:left w:val="nil"/>
              <w:bottom w:val="single" w:sz="4" w:space="0" w:color="auto"/>
              <w:right w:val="single" w:sz="4" w:space="0" w:color="auto"/>
            </w:tcBorders>
            <w:shd w:val="clear" w:color="000000" w:fill="D0CECE"/>
            <w:noWrap/>
            <w:vAlign w:val="bottom"/>
            <w:hideMark/>
          </w:tcPr>
          <w:p w:rsidR="00022BDB" w:rsidRPr="00022BDB" w:rsidRDefault="00022BDB" w:rsidP="00022BDB">
            <w:pPr>
              <w:spacing w:after="0" w:line="240" w:lineRule="auto"/>
              <w:jc w:val="center"/>
              <w:rPr>
                <w:rFonts w:ascii="Calibri" w:eastAsia="Times New Roman" w:hAnsi="Calibri" w:cs="Calibri"/>
                <w:b/>
                <w:bCs/>
                <w:color w:val="000000"/>
                <w:sz w:val="24"/>
                <w:szCs w:val="24"/>
              </w:rPr>
            </w:pPr>
            <w:r w:rsidRPr="00022BDB">
              <w:rPr>
                <w:rFonts w:ascii="Calibri" w:eastAsia="Times New Roman" w:hAnsi="Calibri" w:cs="Calibri"/>
                <w:b/>
                <w:bCs/>
                <w:color w:val="000000"/>
                <w:sz w:val="24"/>
                <w:szCs w:val="24"/>
              </w:rPr>
              <w:t>EHS</w:t>
            </w:r>
          </w:p>
        </w:tc>
        <w:tc>
          <w:tcPr>
            <w:tcW w:w="987" w:type="dxa"/>
            <w:tcBorders>
              <w:top w:val="nil"/>
              <w:left w:val="nil"/>
              <w:bottom w:val="single" w:sz="4" w:space="0" w:color="auto"/>
              <w:right w:val="single" w:sz="4" w:space="0" w:color="auto"/>
            </w:tcBorders>
            <w:shd w:val="clear" w:color="000000" w:fill="D0CECE"/>
            <w:noWrap/>
            <w:vAlign w:val="bottom"/>
            <w:hideMark/>
          </w:tcPr>
          <w:p w:rsidR="00022BDB" w:rsidRPr="00022BDB" w:rsidRDefault="00022BDB" w:rsidP="00022BDB">
            <w:pPr>
              <w:spacing w:after="0" w:line="240" w:lineRule="auto"/>
              <w:jc w:val="center"/>
              <w:rPr>
                <w:rFonts w:ascii="Calibri" w:eastAsia="Times New Roman" w:hAnsi="Calibri" w:cs="Calibri"/>
                <w:b/>
                <w:bCs/>
                <w:color w:val="000000"/>
                <w:sz w:val="24"/>
                <w:szCs w:val="24"/>
              </w:rPr>
            </w:pPr>
            <w:r w:rsidRPr="00022BDB">
              <w:rPr>
                <w:rFonts w:ascii="Calibri" w:eastAsia="Times New Roman" w:hAnsi="Calibri" w:cs="Calibri"/>
                <w:b/>
                <w:bCs/>
                <w:color w:val="000000"/>
                <w:sz w:val="24"/>
                <w:szCs w:val="24"/>
              </w:rPr>
              <w:t>HFA</w:t>
            </w:r>
          </w:p>
        </w:tc>
        <w:tc>
          <w:tcPr>
            <w:tcW w:w="962" w:type="dxa"/>
            <w:tcBorders>
              <w:top w:val="nil"/>
              <w:left w:val="nil"/>
              <w:bottom w:val="single" w:sz="4" w:space="0" w:color="auto"/>
              <w:right w:val="single" w:sz="8" w:space="0" w:color="auto"/>
            </w:tcBorders>
            <w:shd w:val="clear" w:color="000000" w:fill="D0CECE"/>
            <w:noWrap/>
            <w:vAlign w:val="bottom"/>
            <w:hideMark/>
          </w:tcPr>
          <w:p w:rsidR="00022BDB" w:rsidRPr="00022BDB" w:rsidRDefault="00022BDB" w:rsidP="00022BDB">
            <w:pPr>
              <w:spacing w:after="0" w:line="240" w:lineRule="auto"/>
              <w:jc w:val="center"/>
              <w:rPr>
                <w:rFonts w:ascii="Calibri" w:eastAsia="Times New Roman" w:hAnsi="Calibri" w:cs="Calibri"/>
                <w:b/>
                <w:bCs/>
                <w:color w:val="000000"/>
                <w:sz w:val="24"/>
                <w:szCs w:val="24"/>
              </w:rPr>
            </w:pPr>
            <w:r w:rsidRPr="00022BDB">
              <w:rPr>
                <w:rFonts w:ascii="Calibri" w:eastAsia="Times New Roman" w:hAnsi="Calibri" w:cs="Calibri"/>
                <w:b/>
                <w:bCs/>
                <w:color w:val="000000"/>
                <w:sz w:val="24"/>
                <w:szCs w:val="24"/>
              </w:rPr>
              <w:t>NFP</w:t>
            </w:r>
          </w:p>
        </w:tc>
      </w:tr>
      <w:tr w:rsidR="00022BDB" w:rsidRPr="00022BDB" w:rsidTr="00022BDB">
        <w:trPr>
          <w:trHeight w:val="300"/>
        </w:trPr>
        <w:tc>
          <w:tcPr>
            <w:tcW w:w="1100" w:type="dxa"/>
            <w:tcBorders>
              <w:top w:val="nil"/>
              <w:left w:val="single" w:sz="8" w:space="0" w:color="auto"/>
              <w:bottom w:val="single" w:sz="4" w:space="0" w:color="auto"/>
              <w:right w:val="single" w:sz="4" w:space="0" w:color="auto"/>
            </w:tcBorders>
            <w:shd w:val="clear" w:color="000000" w:fill="C6E0B4"/>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Clatsop</w:t>
            </w:r>
          </w:p>
        </w:tc>
        <w:tc>
          <w:tcPr>
            <w:tcW w:w="4260" w:type="dxa"/>
            <w:tcBorders>
              <w:top w:val="nil"/>
              <w:left w:val="nil"/>
              <w:bottom w:val="single" w:sz="4" w:space="0" w:color="auto"/>
              <w:right w:val="single" w:sz="4" w:space="0" w:color="auto"/>
            </w:tcBorders>
            <w:shd w:val="clear" w:color="000000" w:fill="C6E0B4"/>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Community Action Team</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18</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val="restart"/>
            <w:tcBorders>
              <w:top w:val="nil"/>
              <w:left w:val="single" w:sz="8" w:space="0" w:color="auto"/>
              <w:bottom w:val="nil"/>
              <w:right w:val="single" w:sz="4" w:space="0" w:color="auto"/>
            </w:tcBorders>
            <w:shd w:val="clear" w:color="auto" w:fill="auto"/>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Jackson</w:t>
            </w:r>
          </w:p>
        </w:tc>
        <w:tc>
          <w:tcPr>
            <w:tcW w:w="4260" w:type="dxa"/>
            <w:tcBorders>
              <w:top w:val="nil"/>
              <w:left w:val="nil"/>
              <w:bottom w:val="single" w:sz="4" w:space="0" w:color="auto"/>
              <w:right w:val="single" w:sz="4" w:space="0" w:color="auto"/>
            </w:tcBorders>
            <w:shd w:val="clear" w:color="auto" w:fill="auto"/>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Southern Oregon Child &amp; Family</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20</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tcBorders>
              <w:top w:val="nil"/>
              <w:left w:val="single" w:sz="8" w:space="0" w:color="auto"/>
              <w:bottom w:val="nil"/>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auto" w:fill="auto"/>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Siskiyou Health</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28</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tcBorders>
              <w:top w:val="nil"/>
              <w:left w:val="single" w:sz="8" w:space="0" w:color="auto"/>
              <w:bottom w:val="nil"/>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auto" w:fill="auto"/>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County Health Dep't</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100</w:t>
            </w:r>
          </w:p>
        </w:tc>
      </w:tr>
      <w:tr w:rsidR="00022BDB" w:rsidRPr="00022BDB" w:rsidTr="00022BDB">
        <w:trPr>
          <w:trHeight w:val="300"/>
        </w:trPr>
        <w:tc>
          <w:tcPr>
            <w:tcW w:w="1100" w:type="dxa"/>
            <w:tcBorders>
              <w:top w:val="nil"/>
              <w:left w:val="single" w:sz="8" w:space="0" w:color="auto"/>
              <w:bottom w:val="nil"/>
              <w:right w:val="single" w:sz="4" w:space="0" w:color="auto"/>
            </w:tcBorders>
            <w:shd w:val="clear" w:color="000000" w:fill="C6E0B4"/>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Jefferson</w:t>
            </w:r>
          </w:p>
        </w:tc>
        <w:tc>
          <w:tcPr>
            <w:tcW w:w="4260" w:type="dxa"/>
            <w:tcBorders>
              <w:top w:val="nil"/>
              <w:left w:val="nil"/>
              <w:bottom w:val="single" w:sz="4" w:space="0" w:color="auto"/>
              <w:right w:val="single" w:sz="4" w:space="0" w:color="auto"/>
            </w:tcBorders>
            <w:shd w:val="clear" w:color="000000" w:fill="C6E0B4"/>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WEBCO</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8</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tcBorders>
              <w:top w:val="nil"/>
              <w:left w:val="single" w:sz="8" w:space="0" w:color="auto"/>
              <w:bottom w:val="single" w:sz="4" w:space="0" w:color="auto"/>
              <w:right w:val="single" w:sz="4" w:space="0" w:color="auto"/>
            </w:tcBorders>
            <w:shd w:val="clear" w:color="auto" w:fill="auto"/>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Klamath</w:t>
            </w:r>
          </w:p>
        </w:tc>
        <w:tc>
          <w:tcPr>
            <w:tcW w:w="4260" w:type="dxa"/>
            <w:tcBorders>
              <w:top w:val="nil"/>
              <w:left w:val="nil"/>
              <w:bottom w:val="single" w:sz="4" w:space="0" w:color="auto"/>
              <w:right w:val="single" w:sz="4" w:space="0" w:color="auto"/>
            </w:tcBorders>
            <w:shd w:val="clear" w:color="auto" w:fill="auto"/>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United Community Action Network (UCAN)</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25</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val="restart"/>
            <w:tcBorders>
              <w:top w:val="nil"/>
              <w:left w:val="single" w:sz="8" w:space="0" w:color="auto"/>
              <w:bottom w:val="single" w:sz="4" w:space="0" w:color="000000"/>
              <w:right w:val="single" w:sz="4" w:space="0" w:color="auto"/>
            </w:tcBorders>
            <w:shd w:val="clear" w:color="000000" w:fill="C6E0B4"/>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Lane</w:t>
            </w:r>
          </w:p>
        </w:tc>
        <w:tc>
          <w:tcPr>
            <w:tcW w:w="4260" w:type="dxa"/>
            <w:tcBorders>
              <w:top w:val="nil"/>
              <w:left w:val="nil"/>
              <w:bottom w:val="single" w:sz="4" w:space="0" w:color="auto"/>
              <w:right w:val="single" w:sz="4" w:space="0" w:color="auto"/>
            </w:tcBorders>
            <w:shd w:val="clear" w:color="000000" w:fill="C6E0B4"/>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Head Start of Lane County</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20</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tcBorders>
              <w:top w:val="nil"/>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000000" w:fill="C6E0B4"/>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County Health Dep't</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45</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tcBorders>
              <w:top w:val="nil"/>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000000" w:fill="C6E0B4"/>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County Health Dep't</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150</w:t>
            </w:r>
          </w:p>
        </w:tc>
      </w:tr>
      <w:tr w:rsidR="00022BDB" w:rsidRPr="00022BDB" w:rsidTr="00022BDB">
        <w:trPr>
          <w:trHeight w:val="300"/>
        </w:trPr>
        <w:tc>
          <w:tcPr>
            <w:tcW w:w="1100" w:type="dxa"/>
            <w:tcBorders>
              <w:top w:val="nil"/>
              <w:left w:val="single" w:sz="8" w:space="0" w:color="auto"/>
              <w:bottom w:val="single" w:sz="4" w:space="0" w:color="auto"/>
              <w:right w:val="single" w:sz="4" w:space="0" w:color="auto"/>
            </w:tcBorders>
            <w:shd w:val="clear" w:color="auto" w:fill="auto"/>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Lincoln</w:t>
            </w:r>
          </w:p>
        </w:tc>
        <w:tc>
          <w:tcPr>
            <w:tcW w:w="4260" w:type="dxa"/>
            <w:tcBorders>
              <w:top w:val="nil"/>
              <w:left w:val="nil"/>
              <w:bottom w:val="single" w:sz="4" w:space="0" w:color="auto"/>
              <w:right w:val="single" w:sz="4" w:space="0" w:color="auto"/>
            </w:tcBorders>
            <w:shd w:val="clear" w:color="auto" w:fill="auto"/>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County Health Dep't</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75</w:t>
            </w:r>
          </w:p>
        </w:tc>
      </w:tr>
      <w:tr w:rsidR="00022BDB" w:rsidRPr="00022BDB" w:rsidTr="00022BDB">
        <w:trPr>
          <w:trHeight w:val="330"/>
        </w:trPr>
        <w:tc>
          <w:tcPr>
            <w:tcW w:w="1100" w:type="dxa"/>
            <w:tcBorders>
              <w:top w:val="nil"/>
              <w:left w:val="single" w:sz="8" w:space="0" w:color="auto"/>
              <w:bottom w:val="single" w:sz="4" w:space="0" w:color="auto"/>
              <w:right w:val="single" w:sz="4" w:space="0" w:color="auto"/>
            </w:tcBorders>
            <w:shd w:val="clear" w:color="000000" w:fill="C6E0B4"/>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Malheur</w:t>
            </w:r>
          </w:p>
        </w:tc>
        <w:tc>
          <w:tcPr>
            <w:tcW w:w="4260" w:type="dxa"/>
            <w:tcBorders>
              <w:top w:val="nil"/>
              <w:left w:val="nil"/>
              <w:bottom w:val="single" w:sz="4" w:space="0" w:color="auto"/>
              <w:right w:val="single" w:sz="4" w:space="0" w:color="auto"/>
            </w:tcBorders>
            <w:shd w:val="clear" w:color="000000" w:fill="C6E0B4"/>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Oregon Child Development Coalition (OCDC)</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20</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60"/>
        </w:trPr>
        <w:tc>
          <w:tcPr>
            <w:tcW w:w="11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Marion</w:t>
            </w:r>
          </w:p>
        </w:tc>
        <w:tc>
          <w:tcPr>
            <w:tcW w:w="4260" w:type="dxa"/>
            <w:tcBorders>
              <w:top w:val="nil"/>
              <w:left w:val="nil"/>
              <w:bottom w:val="single" w:sz="4" w:space="0" w:color="auto"/>
              <w:right w:val="single" w:sz="4" w:space="0" w:color="auto"/>
            </w:tcBorders>
            <w:shd w:val="clear" w:color="auto" w:fill="auto"/>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Oregon Child Development Coalition (OCDC)</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15</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tcBorders>
              <w:top w:val="nil"/>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auto" w:fill="auto"/>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Family Building Blocks (FBB)</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20</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tcBorders>
              <w:top w:val="nil"/>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auto" w:fill="auto"/>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Family Building Blocks (FBB)</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35</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30"/>
        </w:trPr>
        <w:tc>
          <w:tcPr>
            <w:tcW w:w="1100" w:type="dxa"/>
            <w:tcBorders>
              <w:top w:val="nil"/>
              <w:left w:val="single" w:sz="8" w:space="0" w:color="auto"/>
              <w:bottom w:val="single" w:sz="4" w:space="0" w:color="auto"/>
              <w:right w:val="single" w:sz="4" w:space="0" w:color="auto"/>
            </w:tcBorders>
            <w:shd w:val="clear" w:color="000000" w:fill="C6E0B4"/>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Morrow</w:t>
            </w:r>
          </w:p>
        </w:tc>
        <w:tc>
          <w:tcPr>
            <w:tcW w:w="4260" w:type="dxa"/>
            <w:tcBorders>
              <w:top w:val="nil"/>
              <w:left w:val="nil"/>
              <w:bottom w:val="single" w:sz="4" w:space="0" w:color="auto"/>
              <w:right w:val="single" w:sz="4" w:space="0" w:color="auto"/>
            </w:tcBorders>
            <w:shd w:val="clear" w:color="000000" w:fill="C6E0B4"/>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Umatilla- Morrow County Head Start (</w:t>
            </w:r>
            <w:proofErr w:type="spellStart"/>
            <w:r w:rsidRPr="00022BDB">
              <w:rPr>
                <w:rFonts w:ascii="Calibri" w:eastAsia="Times New Roman" w:hAnsi="Calibri" w:cs="Calibri"/>
                <w:color w:val="000000"/>
              </w:rPr>
              <w:t>UMcHS</w:t>
            </w:r>
            <w:proofErr w:type="spellEnd"/>
            <w:r w:rsidRPr="00022BDB">
              <w:rPr>
                <w:rFonts w:ascii="Calibri" w:eastAsia="Times New Roman" w:hAnsi="Calibri" w:cs="Calibri"/>
                <w:color w:val="000000"/>
              </w:rPr>
              <w:t>)</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8</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Multnomah</w:t>
            </w:r>
          </w:p>
        </w:tc>
        <w:tc>
          <w:tcPr>
            <w:tcW w:w="4260" w:type="dxa"/>
            <w:tcBorders>
              <w:top w:val="nil"/>
              <w:left w:val="nil"/>
              <w:bottom w:val="single" w:sz="4" w:space="0" w:color="auto"/>
              <w:right w:val="single" w:sz="4" w:space="0" w:color="auto"/>
            </w:tcBorders>
            <w:shd w:val="clear" w:color="auto" w:fill="auto"/>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Albina Head Start</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20</w:t>
            </w:r>
          </w:p>
        </w:tc>
        <w:tc>
          <w:tcPr>
            <w:tcW w:w="987" w:type="dxa"/>
            <w:tcBorders>
              <w:top w:val="nil"/>
              <w:left w:val="nil"/>
              <w:bottom w:val="single" w:sz="4" w:space="0" w:color="auto"/>
              <w:right w:val="single" w:sz="4" w:space="0" w:color="auto"/>
            </w:tcBorders>
            <w:shd w:val="clear" w:color="000000" w:fill="CCCCFF"/>
            <w:noWrap/>
            <w:vAlign w:val="bottom"/>
            <w:hideMark/>
          </w:tcPr>
          <w:p w:rsidR="00022BDB" w:rsidRPr="00022BDB" w:rsidRDefault="00022BDB" w:rsidP="00022BDB">
            <w:pPr>
              <w:spacing w:after="0" w:line="240" w:lineRule="auto"/>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tcBorders>
              <w:top w:val="nil"/>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auto" w:fill="auto"/>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Mt Hood Head Start</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20</w:t>
            </w:r>
          </w:p>
        </w:tc>
        <w:tc>
          <w:tcPr>
            <w:tcW w:w="987" w:type="dxa"/>
            <w:tcBorders>
              <w:top w:val="nil"/>
              <w:left w:val="nil"/>
              <w:bottom w:val="single" w:sz="4" w:space="0" w:color="auto"/>
              <w:right w:val="single" w:sz="4" w:space="0" w:color="auto"/>
            </w:tcBorders>
            <w:shd w:val="clear" w:color="000000" w:fill="CCCCFF"/>
            <w:noWrap/>
            <w:vAlign w:val="bottom"/>
            <w:hideMark/>
          </w:tcPr>
          <w:p w:rsidR="00022BDB" w:rsidRPr="00022BDB" w:rsidRDefault="00022BDB" w:rsidP="00022BDB">
            <w:pPr>
              <w:spacing w:after="0" w:line="240" w:lineRule="auto"/>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15"/>
        </w:trPr>
        <w:tc>
          <w:tcPr>
            <w:tcW w:w="1100" w:type="dxa"/>
            <w:vMerge/>
            <w:tcBorders>
              <w:top w:val="nil"/>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auto" w:fill="auto"/>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Oregon Child Development Coalition (OCDC)</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10</w:t>
            </w:r>
          </w:p>
        </w:tc>
        <w:tc>
          <w:tcPr>
            <w:tcW w:w="987" w:type="dxa"/>
            <w:tcBorders>
              <w:top w:val="nil"/>
              <w:left w:val="nil"/>
              <w:bottom w:val="single" w:sz="4" w:space="0" w:color="auto"/>
              <w:right w:val="single" w:sz="4" w:space="0" w:color="auto"/>
            </w:tcBorders>
            <w:shd w:val="clear" w:color="000000" w:fill="CCCCFF"/>
            <w:noWrap/>
            <w:vAlign w:val="bottom"/>
            <w:hideMark/>
          </w:tcPr>
          <w:p w:rsidR="00022BDB" w:rsidRPr="00022BDB" w:rsidRDefault="00022BDB" w:rsidP="00022BDB">
            <w:pPr>
              <w:spacing w:after="0" w:line="240" w:lineRule="auto"/>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tcBorders>
              <w:top w:val="nil"/>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auto" w:fill="auto"/>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Insights Teen Parent Program</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28</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tcBorders>
              <w:top w:val="nil"/>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auto" w:fill="auto"/>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Impact Northwest</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40</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tcBorders>
              <w:top w:val="nil"/>
              <w:left w:val="single" w:sz="8" w:space="0" w:color="auto"/>
              <w:bottom w:val="single" w:sz="4" w:space="0" w:color="auto"/>
              <w:right w:val="single" w:sz="4" w:space="0" w:color="auto"/>
            </w:tcBorders>
            <w:shd w:val="clear" w:color="000000" w:fill="C6E0B4"/>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Tillamook</w:t>
            </w:r>
          </w:p>
        </w:tc>
        <w:tc>
          <w:tcPr>
            <w:tcW w:w="4260" w:type="dxa"/>
            <w:tcBorders>
              <w:top w:val="nil"/>
              <w:left w:val="nil"/>
              <w:bottom w:val="single" w:sz="4" w:space="0" w:color="auto"/>
              <w:right w:val="single" w:sz="4" w:space="0" w:color="auto"/>
            </w:tcBorders>
            <w:shd w:val="clear" w:color="000000" w:fill="C6E0B4"/>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CARE Inc.</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10</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45"/>
        </w:trPr>
        <w:tc>
          <w:tcPr>
            <w:tcW w:w="11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Umatilla</w:t>
            </w:r>
          </w:p>
        </w:tc>
        <w:tc>
          <w:tcPr>
            <w:tcW w:w="4260" w:type="dxa"/>
            <w:tcBorders>
              <w:top w:val="nil"/>
              <w:left w:val="nil"/>
              <w:bottom w:val="single" w:sz="4" w:space="0" w:color="auto"/>
              <w:right w:val="single" w:sz="4" w:space="0" w:color="auto"/>
            </w:tcBorders>
            <w:shd w:val="clear" w:color="auto" w:fill="auto"/>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Umatilla- Morrow County Head Start (</w:t>
            </w:r>
            <w:proofErr w:type="spellStart"/>
            <w:r w:rsidRPr="00022BDB">
              <w:rPr>
                <w:rFonts w:ascii="Calibri" w:eastAsia="Times New Roman" w:hAnsi="Calibri" w:cs="Calibri"/>
                <w:color w:val="000000"/>
              </w:rPr>
              <w:t>UMcHS</w:t>
            </w:r>
            <w:proofErr w:type="spellEnd"/>
            <w:r w:rsidRPr="00022BDB">
              <w:rPr>
                <w:rFonts w:ascii="Calibri" w:eastAsia="Times New Roman" w:hAnsi="Calibri" w:cs="Calibri"/>
                <w:color w:val="000000"/>
              </w:rPr>
              <w:t>)</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20</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45"/>
        </w:trPr>
        <w:tc>
          <w:tcPr>
            <w:tcW w:w="1100" w:type="dxa"/>
            <w:vMerge/>
            <w:tcBorders>
              <w:top w:val="nil"/>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auto" w:fill="auto"/>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Umatilla- Morrow County Head Start (</w:t>
            </w:r>
            <w:proofErr w:type="spellStart"/>
            <w:r w:rsidRPr="00022BDB">
              <w:rPr>
                <w:rFonts w:ascii="Calibri" w:eastAsia="Times New Roman" w:hAnsi="Calibri" w:cs="Calibri"/>
                <w:color w:val="000000"/>
              </w:rPr>
              <w:t>UMcHS</w:t>
            </w:r>
            <w:proofErr w:type="spellEnd"/>
            <w:r w:rsidRPr="00022BDB">
              <w:rPr>
                <w:rFonts w:ascii="Calibri" w:eastAsia="Times New Roman" w:hAnsi="Calibri" w:cs="Calibri"/>
                <w:color w:val="000000"/>
              </w:rPr>
              <w:t>)</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10</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tcBorders>
              <w:top w:val="nil"/>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auto" w:fill="auto"/>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County Health Dep't</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32</w:t>
            </w:r>
          </w:p>
        </w:tc>
      </w:tr>
      <w:tr w:rsidR="00022BDB" w:rsidRPr="00022BDB" w:rsidTr="00022BDB">
        <w:trPr>
          <w:trHeight w:val="300"/>
        </w:trPr>
        <w:tc>
          <w:tcPr>
            <w:tcW w:w="1100" w:type="dxa"/>
            <w:vMerge w:val="restart"/>
            <w:tcBorders>
              <w:top w:val="nil"/>
              <w:left w:val="single" w:sz="8" w:space="0" w:color="auto"/>
              <w:bottom w:val="single" w:sz="4" w:space="0" w:color="000000"/>
              <w:right w:val="single" w:sz="4" w:space="0" w:color="auto"/>
            </w:tcBorders>
            <w:shd w:val="clear" w:color="000000" w:fill="C6E0B4"/>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Yamhill</w:t>
            </w:r>
          </w:p>
        </w:tc>
        <w:tc>
          <w:tcPr>
            <w:tcW w:w="4260" w:type="dxa"/>
            <w:tcBorders>
              <w:top w:val="nil"/>
              <w:left w:val="nil"/>
              <w:bottom w:val="single" w:sz="4" w:space="0" w:color="auto"/>
              <w:right w:val="single" w:sz="4" w:space="0" w:color="auto"/>
            </w:tcBorders>
            <w:shd w:val="clear" w:color="000000" w:fill="C6E0B4"/>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Head Start of Yamhill County</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20</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1100" w:type="dxa"/>
            <w:vMerge/>
            <w:tcBorders>
              <w:top w:val="nil"/>
              <w:left w:val="single" w:sz="8" w:space="0" w:color="auto"/>
              <w:bottom w:val="single" w:sz="4" w:space="0" w:color="000000"/>
              <w:right w:val="single" w:sz="4" w:space="0" w:color="auto"/>
            </w:tcBorders>
            <w:vAlign w:val="center"/>
            <w:hideMark/>
          </w:tcPr>
          <w:p w:rsidR="00022BDB" w:rsidRPr="00022BDB" w:rsidRDefault="00022BDB" w:rsidP="00022BDB">
            <w:pPr>
              <w:spacing w:after="0" w:line="240" w:lineRule="auto"/>
              <w:rPr>
                <w:rFonts w:ascii="Calibri" w:eastAsia="Times New Roman" w:hAnsi="Calibri" w:cs="Calibri"/>
                <w:color w:val="000000"/>
              </w:rPr>
            </w:pPr>
          </w:p>
        </w:tc>
        <w:tc>
          <w:tcPr>
            <w:tcW w:w="4260" w:type="dxa"/>
            <w:tcBorders>
              <w:top w:val="nil"/>
              <w:left w:val="nil"/>
              <w:bottom w:val="single" w:sz="4" w:space="0" w:color="auto"/>
              <w:right w:val="single" w:sz="4" w:space="0" w:color="auto"/>
            </w:tcBorders>
            <w:shd w:val="clear" w:color="000000" w:fill="C6E0B4"/>
            <w:noWrap/>
            <w:vAlign w:val="bottom"/>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Lutheran Community SVS</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8</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 </w:t>
            </w:r>
          </w:p>
        </w:tc>
      </w:tr>
      <w:tr w:rsidR="00022BDB" w:rsidRPr="00022BDB" w:rsidTr="00022BDB">
        <w:trPr>
          <w:trHeight w:val="300"/>
        </w:trPr>
        <w:tc>
          <w:tcPr>
            <w:tcW w:w="5360" w:type="dxa"/>
            <w:gridSpan w:val="2"/>
            <w:tcBorders>
              <w:top w:val="single" w:sz="4" w:space="0" w:color="auto"/>
              <w:left w:val="single" w:sz="8" w:space="0" w:color="auto"/>
              <w:bottom w:val="single" w:sz="4" w:space="0" w:color="auto"/>
              <w:right w:val="single" w:sz="4" w:space="0" w:color="000000"/>
            </w:tcBorders>
            <w:shd w:val="clear" w:color="000000" w:fill="FFD966"/>
            <w:noWrap/>
            <w:vAlign w:val="bottom"/>
            <w:hideMark/>
          </w:tcPr>
          <w:p w:rsidR="00022BDB" w:rsidRPr="00022BDB" w:rsidRDefault="00022BDB" w:rsidP="00022BDB">
            <w:pPr>
              <w:spacing w:after="0" w:line="240" w:lineRule="auto"/>
              <w:jc w:val="center"/>
              <w:rPr>
                <w:rFonts w:ascii="Calibri" w:eastAsia="Times New Roman" w:hAnsi="Calibri" w:cs="Calibri"/>
                <w:b/>
                <w:bCs/>
                <w:color w:val="000000"/>
              </w:rPr>
            </w:pPr>
            <w:r w:rsidRPr="00022BDB">
              <w:rPr>
                <w:rFonts w:ascii="Calibri" w:eastAsia="Times New Roman" w:hAnsi="Calibri" w:cs="Calibri"/>
                <w:b/>
                <w:bCs/>
                <w:color w:val="000000"/>
              </w:rPr>
              <w:t>Model Totals</w:t>
            </w:r>
          </w:p>
        </w:tc>
        <w:tc>
          <w:tcPr>
            <w:tcW w:w="931" w:type="dxa"/>
            <w:tcBorders>
              <w:top w:val="nil"/>
              <w:left w:val="nil"/>
              <w:bottom w:val="single" w:sz="4" w:space="0" w:color="auto"/>
              <w:right w:val="single" w:sz="4"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185</w:t>
            </w:r>
          </w:p>
        </w:tc>
        <w:tc>
          <w:tcPr>
            <w:tcW w:w="987" w:type="dxa"/>
            <w:tcBorders>
              <w:top w:val="nil"/>
              <w:left w:val="nil"/>
              <w:bottom w:val="single" w:sz="4" w:space="0" w:color="auto"/>
              <w:right w:val="single" w:sz="4" w:space="0" w:color="auto"/>
            </w:tcBorders>
            <w:shd w:val="clear" w:color="000000" w:fill="CCCC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263</w:t>
            </w:r>
          </w:p>
        </w:tc>
        <w:tc>
          <w:tcPr>
            <w:tcW w:w="962" w:type="dxa"/>
            <w:tcBorders>
              <w:top w:val="nil"/>
              <w:left w:val="nil"/>
              <w:bottom w:val="single" w:sz="4" w:space="0" w:color="auto"/>
              <w:right w:val="single" w:sz="8" w:space="0" w:color="auto"/>
            </w:tcBorders>
            <w:shd w:val="clear" w:color="000000" w:fill="B3A0BE"/>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357</w:t>
            </w:r>
          </w:p>
        </w:tc>
      </w:tr>
      <w:tr w:rsidR="00022BDB" w:rsidRPr="00022BDB" w:rsidTr="00022BDB">
        <w:trPr>
          <w:trHeight w:val="315"/>
        </w:trPr>
        <w:tc>
          <w:tcPr>
            <w:tcW w:w="7278" w:type="dxa"/>
            <w:gridSpan w:val="4"/>
            <w:tcBorders>
              <w:top w:val="single" w:sz="4" w:space="0" w:color="auto"/>
              <w:left w:val="single" w:sz="8" w:space="0" w:color="auto"/>
              <w:bottom w:val="single" w:sz="8" w:space="0" w:color="auto"/>
              <w:right w:val="nil"/>
            </w:tcBorders>
            <w:shd w:val="clear" w:color="000000" w:fill="9966FF"/>
            <w:noWrap/>
            <w:vAlign w:val="bottom"/>
            <w:hideMark/>
          </w:tcPr>
          <w:p w:rsidR="00022BDB" w:rsidRPr="00022BDB" w:rsidRDefault="00022BDB" w:rsidP="00022BDB">
            <w:pPr>
              <w:spacing w:after="0" w:line="240" w:lineRule="auto"/>
              <w:jc w:val="center"/>
              <w:rPr>
                <w:rFonts w:ascii="Calibri" w:eastAsia="Times New Roman" w:hAnsi="Calibri" w:cs="Calibri"/>
                <w:b/>
                <w:bCs/>
                <w:color w:val="000000"/>
              </w:rPr>
            </w:pPr>
            <w:r w:rsidRPr="00022BDB">
              <w:rPr>
                <w:rFonts w:ascii="Calibri" w:eastAsia="Times New Roman" w:hAnsi="Calibri" w:cs="Calibri"/>
                <w:b/>
                <w:bCs/>
                <w:color w:val="000000"/>
              </w:rPr>
              <w:t>GRANT TOTAL</w:t>
            </w:r>
          </w:p>
        </w:tc>
        <w:tc>
          <w:tcPr>
            <w:tcW w:w="962" w:type="dxa"/>
            <w:tcBorders>
              <w:top w:val="nil"/>
              <w:left w:val="nil"/>
              <w:bottom w:val="single" w:sz="8" w:space="0" w:color="auto"/>
              <w:right w:val="single" w:sz="8" w:space="0" w:color="auto"/>
            </w:tcBorders>
            <w:shd w:val="clear" w:color="000000" w:fill="9966FF"/>
            <w:noWrap/>
            <w:vAlign w:val="center"/>
            <w:hideMark/>
          </w:tcPr>
          <w:p w:rsidR="00022BDB" w:rsidRPr="00022BDB" w:rsidRDefault="00022BDB" w:rsidP="00022BDB">
            <w:pPr>
              <w:spacing w:after="0" w:line="240" w:lineRule="auto"/>
              <w:jc w:val="center"/>
              <w:rPr>
                <w:rFonts w:ascii="Calibri" w:eastAsia="Times New Roman" w:hAnsi="Calibri" w:cs="Calibri"/>
                <w:color w:val="000000"/>
              </w:rPr>
            </w:pPr>
            <w:r w:rsidRPr="00022BDB">
              <w:rPr>
                <w:rFonts w:ascii="Calibri" w:eastAsia="Times New Roman" w:hAnsi="Calibri" w:cs="Calibri"/>
                <w:color w:val="000000"/>
              </w:rPr>
              <w:t>805</w:t>
            </w:r>
          </w:p>
        </w:tc>
      </w:tr>
    </w:tbl>
    <w:p w:rsidR="00022BDB" w:rsidRPr="006F360E" w:rsidRDefault="00022BDB" w:rsidP="0064070A">
      <w:pPr>
        <w:spacing w:after="0"/>
      </w:pPr>
    </w:p>
    <w:sectPr w:rsidR="00022BDB" w:rsidRPr="006F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5E3"/>
    <w:multiLevelType w:val="hybridMultilevel"/>
    <w:tmpl w:val="3E7EC3E6"/>
    <w:lvl w:ilvl="0" w:tplc="1A101D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66698A"/>
    <w:multiLevelType w:val="hybridMultilevel"/>
    <w:tmpl w:val="4E768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373EE"/>
    <w:multiLevelType w:val="hybridMultilevel"/>
    <w:tmpl w:val="6F966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315E3"/>
    <w:multiLevelType w:val="hybridMultilevel"/>
    <w:tmpl w:val="92926B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D26EE"/>
    <w:multiLevelType w:val="hybridMultilevel"/>
    <w:tmpl w:val="4EBC09EA"/>
    <w:lvl w:ilvl="0" w:tplc="1A101D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F3218"/>
    <w:multiLevelType w:val="hybridMultilevel"/>
    <w:tmpl w:val="015C80FE"/>
    <w:lvl w:ilvl="0" w:tplc="1A101D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28535F"/>
    <w:multiLevelType w:val="hybridMultilevel"/>
    <w:tmpl w:val="4CEA34B2"/>
    <w:lvl w:ilvl="0" w:tplc="1A101D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D734C5"/>
    <w:multiLevelType w:val="hybridMultilevel"/>
    <w:tmpl w:val="8B4EA216"/>
    <w:lvl w:ilvl="0" w:tplc="04090005">
      <w:start w:val="1"/>
      <w:numFmt w:val="bullet"/>
      <w:lvlText w:val=""/>
      <w:lvlJc w:val="left"/>
      <w:pPr>
        <w:ind w:left="720" w:hanging="360"/>
      </w:pPr>
      <w:rPr>
        <w:rFonts w:ascii="Wingdings" w:hAnsi="Wingdings" w:hint="default"/>
      </w:rPr>
    </w:lvl>
    <w:lvl w:ilvl="1" w:tplc="1A101D8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A0D"/>
    <w:multiLevelType w:val="hybridMultilevel"/>
    <w:tmpl w:val="4680F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A193D"/>
    <w:multiLevelType w:val="hybridMultilevel"/>
    <w:tmpl w:val="FB929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9"/>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17"/>
    <w:rsid w:val="00022BDB"/>
    <w:rsid w:val="00040F18"/>
    <w:rsid w:val="00280030"/>
    <w:rsid w:val="002B2F26"/>
    <w:rsid w:val="003E75C1"/>
    <w:rsid w:val="00562806"/>
    <w:rsid w:val="005E0AF6"/>
    <w:rsid w:val="006309D7"/>
    <w:rsid w:val="0064070A"/>
    <w:rsid w:val="006F360E"/>
    <w:rsid w:val="00841FE7"/>
    <w:rsid w:val="008D7917"/>
    <w:rsid w:val="0095745D"/>
    <w:rsid w:val="00A16709"/>
    <w:rsid w:val="00A41480"/>
    <w:rsid w:val="00A51386"/>
    <w:rsid w:val="00A70AC0"/>
    <w:rsid w:val="00B2304A"/>
    <w:rsid w:val="00B75EEA"/>
    <w:rsid w:val="00BB07B0"/>
    <w:rsid w:val="00BC0AF3"/>
    <w:rsid w:val="00C43234"/>
    <w:rsid w:val="00CC18DA"/>
    <w:rsid w:val="00D70CB5"/>
    <w:rsid w:val="00E87125"/>
    <w:rsid w:val="00E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4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17"/>
    <w:pPr>
      <w:ind w:left="720"/>
      <w:contextualSpacing/>
    </w:pPr>
  </w:style>
  <w:style w:type="table" w:styleId="TableGrid">
    <w:name w:val="Table Grid"/>
    <w:basedOn w:val="TableNormal"/>
    <w:uiPriority w:val="39"/>
    <w:rsid w:val="00BB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AC0"/>
    <w:rPr>
      <w:rFonts w:ascii="Segoe UI" w:hAnsi="Segoe UI" w:cs="Segoe UI"/>
      <w:sz w:val="18"/>
      <w:szCs w:val="18"/>
    </w:rPr>
  </w:style>
  <w:style w:type="character" w:customStyle="1" w:styleId="Heading1Char">
    <w:name w:val="Heading 1 Char"/>
    <w:basedOn w:val="DefaultParagraphFont"/>
    <w:link w:val="Heading1"/>
    <w:uiPriority w:val="9"/>
    <w:rsid w:val="00A4148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4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17"/>
    <w:pPr>
      <w:ind w:left="720"/>
      <w:contextualSpacing/>
    </w:pPr>
  </w:style>
  <w:style w:type="table" w:styleId="TableGrid">
    <w:name w:val="Table Grid"/>
    <w:basedOn w:val="TableNormal"/>
    <w:uiPriority w:val="39"/>
    <w:rsid w:val="00BB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AC0"/>
    <w:rPr>
      <w:rFonts w:ascii="Segoe UI" w:hAnsi="Segoe UI" w:cs="Segoe UI"/>
      <w:sz w:val="18"/>
      <w:szCs w:val="18"/>
    </w:rPr>
  </w:style>
  <w:style w:type="character" w:customStyle="1" w:styleId="Heading1Char">
    <w:name w:val="Heading 1 Char"/>
    <w:basedOn w:val="DefaultParagraphFont"/>
    <w:link w:val="Heading1"/>
    <w:uiPriority w:val="9"/>
    <w:rsid w:val="00A414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1170">
      <w:bodyDiv w:val="1"/>
      <w:marLeft w:val="0"/>
      <w:marRight w:val="0"/>
      <w:marTop w:val="0"/>
      <w:marBottom w:val="0"/>
      <w:divBdr>
        <w:top w:val="none" w:sz="0" w:space="0" w:color="auto"/>
        <w:left w:val="none" w:sz="0" w:space="0" w:color="auto"/>
        <w:bottom w:val="none" w:sz="0" w:space="0" w:color="auto"/>
        <w:right w:val="none" w:sz="0" w:space="0" w:color="auto"/>
      </w:divBdr>
    </w:div>
    <w:div w:id="914705924">
      <w:bodyDiv w:val="1"/>
      <w:marLeft w:val="0"/>
      <w:marRight w:val="0"/>
      <w:marTop w:val="0"/>
      <w:marBottom w:val="0"/>
      <w:divBdr>
        <w:top w:val="none" w:sz="0" w:space="0" w:color="auto"/>
        <w:left w:val="none" w:sz="0" w:space="0" w:color="auto"/>
        <w:bottom w:val="none" w:sz="0" w:space="0" w:color="auto"/>
        <w:right w:val="none" w:sz="0" w:space="0" w:color="auto"/>
      </w:divBdr>
    </w:div>
    <w:div w:id="1446608867">
      <w:bodyDiv w:val="1"/>
      <w:marLeft w:val="0"/>
      <w:marRight w:val="0"/>
      <w:marTop w:val="0"/>
      <w:marBottom w:val="0"/>
      <w:divBdr>
        <w:top w:val="none" w:sz="0" w:space="0" w:color="auto"/>
        <w:left w:val="none" w:sz="0" w:space="0" w:color="auto"/>
        <w:bottom w:val="none" w:sz="0" w:space="0" w:color="auto"/>
        <w:right w:val="none" w:sz="0" w:space="0" w:color="auto"/>
      </w:divBdr>
    </w:div>
    <w:div w:id="17743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HAZELTON Benjamin</dc:creator>
  <cp:lastModifiedBy>JONES Linda P - ELD</cp:lastModifiedBy>
  <cp:revision>2</cp:revision>
  <cp:lastPrinted>2017-05-05T21:23:00Z</cp:lastPrinted>
  <dcterms:created xsi:type="dcterms:W3CDTF">2017-05-08T20:58:00Z</dcterms:created>
  <dcterms:modified xsi:type="dcterms:W3CDTF">2017-05-08T20:58:00Z</dcterms:modified>
</cp:coreProperties>
</file>