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2064"/>
        <w:gridCol w:w="3312"/>
        <w:gridCol w:w="2970"/>
        <w:gridCol w:w="2520"/>
      </w:tblGrid>
      <w:tr w:rsidR="000D2E8A" w:rsidTr="000D2E8A">
        <w:tc>
          <w:tcPr>
            <w:tcW w:w="2112" w:type="dxa"/>
          </w:tcPr>
          <w:p w:rsidR="000D2E8A" w:rsidRPr="005D44E2" w:rsidRDefault="000D2E8A">
            <w:pPr>
              <w:rPr>
                <w:b/>
              </w:rPr>
            </w:pPr>
            <w:bookmarkStart w:id="0" w:name="_GoBack"/>
            <w:bookmarkEnd w:id="0"/>
            <w:r w:rsidRPr="005D44E2">
              <w:rPr>
                <w:b/>
              </w:rPr>
              <w:t>Roles/Expectations</w:t>
            </w:r>
          </w:p>
        </w:tc>
        <w:tc>
          <w:tcPr>
            <w:tcW w:w="2064" w:type="dxa"/>
          </w:tcPr>
          <w:p w:rsidR="000D2E8A" w:rsidRDefault="000D2E8A">
            <w:r>
              <w:t>Resources/Inputs</w:t>
            </w:r>
          </w:p>
        </w:tc>
        <w:tc>
          <w:tcPr>
            <w:tcW w:w="3312" w:type="dxa"/>
          </w:tcPr>
          <w:p w:rsidR="000D2E8A" w:rsidRDefault="000D2E8A" w:rsidP="00985DC1">
            <w:r>
              <w:t>Possible Activities/Strategies</w:t>
            </w:r>
          </w:p>
        </w:tc>
        <w:tc>
          <w:tcPr>
            <w:tcW w:w="2970" w:type="dxa"/>
          </w:tcPr>
          <w:p w:rsidR="000D2E8A" w:rsidRDefault="000D2E8A">
            <w:r>
              <w:t>Indicators/Outcomes</w:t>
            </w:r>
          </w:p>
        </w:tc>
        <w:tc>
          <w:tcPr>
            <w:tcW w:w="2520" w:type="dxa"/>
          </w:tcPr>
          <w:p w:rsidR="000D2E8A" w:rsidRDefault="000D2E8A">
            <w:r>
              <w:t>Long-term Goals</w:t>
            </w:r>
          </w:p>
        </w:tc>
      </w:tr>
      <w:tr w:rsidR="000D2E8A" w:rsidRPr="00AA258E" w:rsidTr="000D2E8A">
        <w:trPr>
          <w:trHeight w:val="3768"/>
        </w:trPr>
        <w:tc>
          <w:tcPr>
            <w:tcW w:w="2112" w:type="dxa"/>
            <w:hideMark/>
          </w:tcPr>
          <w:p w:rsidR="000D2E8A" w:rsidRPr="00AA258E" w:rsidRDefault="000D2E8A" w:rsidP="00AA258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AA258E">
              <w:rPr>
                <w:rFonts w:ascii="Calibri" w:eastAsia="Times New Roman" w:hAnsi="Calibri" w:cs="Times New Roman"/>
                <w:b/>
                <w:color w:val="000000"/>
              </w:rPr>
              <w:t>2.1  The</w:t>
            </w:r>
            <w:proofErr w:type="gramEnd"/>
            <w:r w:rsidRPr="00AA258E">
              <w:rPr>
                <w:rFonts w:ascii="Calibri" w:eastAsia="Times New Roman" w:hAnsi="Calibri" w:cs="Times New Roman"/>
                <w:b/>
                <w:color w:val="000000"/>
              </w:rPr>
              <w:t xml:space="preserve"> role of the hub is to</w:t>
            </w:r>
            <w:r w:rsidRPr="00AA25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facilitate shared understanding and collaboration</w:t>
            </w:r>
            <w:r w:rsidRPr="00AA258E">
              <w:rPr>
                <w:rFonts w:ascii="Calibri" w:eastAsia="Times New Roman" w:hAnsi="Calibri" w:cs="Times New Roman"/>
                <w:b/>
                <w:color w:val="000000"/>
              </w:rPr>
              <w:t xml:space="preserve"> between early learning and K-12 partners regarding expectations about the skills and abilities of children entering school. </w:t>
            </w:r>
          </w:p>
        </w:tc>
        <w:tc>
          <w:tcPr>
            <w:tcW w:w="2064" w:type="dxa"/>
            <w:hideMark/>
          </w:tcPr>
          <w:p w:rsidR="000D2E8A" w:rsidRPr="00AA258E" w:rsidRDefault="000D2E8A" w:rsidP="00AA258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b/>
                <w:bCs/>
                <w:color w:val="000000"/>
              </w:rPr>
              <w:t>KPI, School Readiness, and strategic community partnerships</w:t>
            </w:r>
          </w:p>
        </w:tc>
        <w:tc>
          <w:tcPr>
            <w:tcW w:w="3312" w:type="dxa"/>
            <w:hideMark/>
          </w:tcPr>
          <w:p w:rsidR="000D2E8A" w:rsidRDefault="000D2E8A" w:rsidP="006363A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 Convene partners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 across early learning, K-12 and strategic community partners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(e.g., KPI PD events, 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trainings/conferences on </w:t>
            </w:r>
          </w:p>
          <w:p w:rsidR="000D2E8A" w:rsidRDefault="000D2E8A" w:rsidP="006363A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P-3, and other collaborative events)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2. 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>Develop shared language and expectations re: K Readiness across partn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ers                           ( e.g.- 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>Cross-visits to schools and early learning centers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shared planning processes,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  <w:p w:rsidR="000D2E8A" w:rsidRDefault="000D2E8A" w:rsidP="006363A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3. 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>Shared examination of priority and focus populations across school districts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4. 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>Develop common strategies for preparing young children for kinderga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rten                          5. 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Develop common outcomes, data sources and collection strategies across pre-K into elementary school  </w:t>
            </w:r>
          </w:p>
          <w:p w:rsidR="000D2E8A" w:rsidRDefault="000D2E8A" w:rsidP="006363A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 Other strategies conceived and implemented by hub with its partners*</w:t>
            </w:r>
          </w:p>
          <w:p w:rsidR="000D2E8A" w:rsidRPr="00AA258E" w:rsidRDefault="000D2E8A" w:rsidP="006363A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AA258E">
              <w:rPr>
                <w:rFonts w:ascii="Calibri" w:eastAsia="Times New Roman" w:hAnsi="Calibri" w:cs="Times New Roman"/>
                <w:i/>
                <w:color w:val="000000"/>
              </w:rPr>
              <w:t>applies</w:t>
            </w:r>
            <w:proofErr w:type="gramEnd"/>
            <w:r w:rsidRPr="00AA258E">
              <w:rPr>
                <w:rFonts w:ascii="Calibri" w:eastAsia="Times New Roman" w:hAnsi="Calibri" w:cs="Times New Roman"/>
                <w:i/>
                <w:color w:val="000000"/>
              </w:rPr>
              <w:t xml:space="preserve"> to the strategies for all other roles as well!)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</w:t>
            </w:r>
          </w:p>
        </w:tc>
        <w:tc>
          <w:tcPr>
            <w:tcW w:w="2970" w:type="dxa"/>
            <w:hideMark/>
          </w:tcPr>
          <w:p w:rsidR="000D2E8A" w:rsidRDefault="000D2E8A" w:rsidP="00B64E4F">
            <w:pPr>
              <w:rPr>
                <w:rFonts w:ascii="Calibri" w:eastAsia="Times New Roman" w:hAnsi="Calibri" w:cs="Times New Roman"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color w:val="000000"/>
              </w:rPr>
              <w:t>Early learning and K-12 professionals demonstrate increases in shared language, activities, and expectations regarding kindergarten readi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ness.                         </w:t>
            </w:r>
          </w:p>
          <w:p w:rsidR="000D2E8A" w:rsidRDefault="000D2E8A" w:rsidP="00B64E4F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0D2E8A" w:rsidRPr="00AA258E" w:rsidRDefault="000D2E8A" w:rsidP="00B64E4F">
            <w:pPr>
              <w:rPr>
                <w:rFonts w:ascii="Calibri" w:eastAsia="Times New Roman" w:hAnsi="Calibri" w:cs="Times New Roman"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color w:val="000000"/>
              </w:rPr>
              <w:t>K-12 and early l</w:t>
            </w:r>
            <w:r>
              <w:rPr>
                <w:rFonts w:ascii="Calibri" w:eastAsia="Times New Roman" w:hAnsi="Calibri" w:cs="Times New Roman"/>
                <w:color w:val="000000"/>
              </w:rPr>
              <w:t>earning partners are utilizing co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mmon data collection and tracking systems for decision-making and partnership activities.                          </w:t>
            </w:r>
          </w:p>
        </w:tc>
        <w:tc>
          <w:tcPr>
            <w:tcW w:w="2520" w:type="dxa"/>
            <w:vAlign w:val="center"/>
          </w:tcPr>
          <w:p w:rsidR="000D2E8A" w:rsidRDefault="000D2E8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READY FOR KINDERGARTEN</w:t>
            </w:r>
          </w:p>
        </w:tc>
      </w:tr>
      <w:tr w:rsidR="000D2E8A" w:rsidRPr="00AA258E" w:rsidTr="000D2E8A">
        <w:trPr>
          <w:trHeight w:val="3252"/>
        </w:trPr>
        <w:tc>
          <w:tcPr>
            <w:tcW w:w="2112" w:type="dxa"/>
            <w:hideMark/>
          </w:tcPr>
          <w:p w:rsidR="000D2E8A" w:rsidRPr="00AA258E" w:rsidRDefault="000D2E8A" w:rsidP="00AA258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2.2  The role of the hub is to</w:t>
            </w:r>
            <w:r w:rsidRPr="00AA25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facilitate family engagement activities</w:t>
            </w:r>
            <w:r w:rsidRPr="00AA258E">
              <w:rPr>
                <w:rFonts w:ascii="Calibri" w:eastAsia="Times New Roman" w:hAnsi="Calibri" w:cs="Times New Roman"/>
                <w:b/>
                <w:color w:val="000000"/>
              </w:rPr>
              <w:t xml:space="preserve"> across the community (including schools) that promote seamless transitions into kindergarten and the family’s comfort and engagement at their child’s school.</w:t>
            </w:r>
          </w:p>
        </w:tc>
        <w:tc>
          <w:tcPr>
            <w:tcW w:w="2064" w:type="dxa"/>
            <w:hideMark/>
          </w:tcPr>
          <w:p w:rsidR="000D2E8A" w:rsidRPr="00AA258E" w:rsidRDefault="000D2E8A" w:rsidP="00AA258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b/>
                <w:bCs/>
                <w:color w:val="000000"/>
              </w:rPr>
              <w:t>VROOM, OPEC,  Stable and Attached Families, and strategic community partnerships</w:t>
            </w:r>
          </w:p>
        </w:tc>
        <w:tc>
          <w:tcPr>
            <w:tcW w:w="3312" w:type="dxa"/>
            <w:hideMark/>
          </w:tcPr>
          <w:p w:rsidR="000D2E8A" w:rsidRPr="00AA258E" w:rsidRDefault="000D2E8A" w:rsidP="006363A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color w:val="000000"/>
              </w:rPr>
              <w:t>Same as above except for family engagement</w:t>
            </w:r>
            <w:r>
              <w:rPr>
                <w:rFonts w:ascii="Calibri" w:eastAsia="Times New Roman" w:hAnsi="Calibri" w:cs="Times New Roman"/>
                <w:color w:val="000000"/>
              </w:rPr>
              <w:t>, Could include activities such as kindergar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ten launches, early </w:t>
            </w:r>
            <w:r>
              <w:rPr>
                <w:rFonts w:ascii="Calibri" w:eastAsia="Times New Roman" w:hAnsi="Calibri" w:cs="Times New Roman"/>
                <w:color w:val="000000"/>
              </w:rPr>
              <w:t>registration, home visits, etc.</w:t>
            </w:r>
          </w:p>
        </w:tc>
        <w:tc>
          <w:tcPr>
            <w:tcW w:w="2970" w:type="dxa"/>
            <w:hideMark/>
          </w:tcPr>
          <w:p w:rsidR="000D2E8A" w:rsidRDefault="000D2E8A" w:rsidP="00AA25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Families report increased comfort and engagement in the school setting.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</w:p>
          <w:p w:rsidR="000D2E8A" w:rsidRDefault="000D2E8A" w:rsidP="00AA258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0D2E8A" w:rsidRDefault="000D2E8A" w:rsidP="00AA25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Schools report increas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>ed early registration and improved kindergarte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n attendance                  </w:t>
            </w:r>
          </w:p>
          <w:p w:rsidR="000D2E8A" w:rsidRDefault="000D2E8A" w:rsidP="00AA258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0D2E8A" w:rsidRPr="00AA258E" w:rsidRDefault="000D2E8A" w:rsidP="00AA25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color w:val="000000"/>
              </w:rPr>
              <w:t>Schools report increase in parent engagement at school</w:t>
            </w:r>
          </w:p>
        </w:tc>
        <w:tc>
          <w:tcPr>
            <w:tcW w:w="2520" w:type="dxa"/>
            <w:vAlign w:val="center"/>
          </w:tcPr>
          <w:p w:rsidR="000D2E8A" w:rsidRDefault="000D2E8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D2E8A" w:rsidRPr="00AA258E" w:rsidTr="000D2E8A">
        <w:trPr>
          <w:trHeight w:val="620"/>
        </w:trPr>
        <w:tc>
          <w:tcPr>
            <w:tcW w:w="2112" w:type="dxa"/>
            <w:hideMark/>
          </w:tcPr>
          <w:p w:rsidR="000D2E8A" w:rsidRPr="00AA258E" w:rsidRDefault="000D2E8A" w:rsidP="00AA258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b/>
                <w:color w:val="000000"/>
              </w:rPr>
              <w:t>2.3</w:t>
            </w:r>
            <w:proofErr w:type="gramStart"/>
            <w:r w:rsidRPr="00AA258E">
              <w:rPr>
                <w:rFonts w:ascii="Calibri" w:eastAsia="Times New Roman" w:hAnsi="Calibri" w:cs="Times New Roman"/>
                <w:b/>
                <w:color w:val="000000"/>
              </w:rPr>
              <w:t>  The</w:t>
            </w:r>
            <w:proofErr w:type="gramEnd"/>
            <w:r w:rsidRPr="00AA258E">
              <w:rPr>
                <w:rFonts w:ascii="Calibri" w:eastAsia="Times New Roman" w:hAnsi="Calibri" w:cs="Times New Roman"/>
                <w:b/>
                <w:color w:val="000000"/>
              </w:rPr>
              <w:t xml:space="preserve"> role of the hub is to work with partners to </w:t>
            </w:r>
            <w:r w:rsidRPr="00AA25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coordinate identification </w:t>
            </w:r>
            <w:r w:rsidRPr="00AA258E">
              <w:rPr>
                <w:rFonts w:ascii="Calibri" w:eastAsia="Times New Roman" w:hAnsi="Calibri" w:cs="Times New Roman"/>
                <w:b/>
                <w:color w:val="000000"/>
              </w:rPr>
              <w:t xml:space="preserve">of children &amp; families from priority and focus populations, to </w:t>
            </w:r>
            <w:r w:rsidRPr="00AA25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recruit </w:t>
            </w:r>
            <w:r w:rsidRPr="00AA258E">
              <w:rPr>
                <w:rFonts w:ascii="Calibri" w:eastAsia="Times New Roman" w:hAnsi="Calibri" w:cs="Times New Roman"/>
                <w:b/>
                <w:color w:val="000000"/>
              </w:rPr>
              <w:t>them for early learning activities,</w:t>
            </w:r>
            <w:r w:rsidRPr="00AA25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enroll </w:t>
            </w:r>
            <w:r w:rsidRPr="00AA258E">
              <w:rPr>
                <w:rFonts w:ascii="Calibri" w:eastAsia="Times New Roman" w:hAnsi="Calibri" w:cs="Times New Roman"/>
                <w:b/>
                <w:color w:val="000000"/>
              </w:rPr>
              <w:t xml:space="preserve">them in services, and make </w:t>
            </w:r>
            <w:r w:rsidRPr="00AA258E">
              <w:rPr>
                <w:rFonts w:ascii="Calibri" w:eastAsia="Times New Roman" w:hAnsi="Calibri" w:cs="Times New Roman"/>
                <w:b/>
                <w:bCs/>
                <w:color w:val="000000"/>
              </w:rPr>
              <w:t>timely referrals</w:t>
            </w:r>
            <w:r w:rsidRPr="00AA258E">
              <w:rPr>
                <w:rFonts w:ascii="Calibri" w:eastAsia="Times New Roman" w:hAnsi="Calibri" w:cs="Times New Roman"/>
                <w:b/>
                <w:color w:val="000000"/>
              </w:rPr>
              <w:t xml:space="preserve"> with smooth transitions.</w:t>
            </w:r>
          </w:p>
        </w:tc>
        <w:tc>
          <w:tcPr>
            <w:tcW w:w="2064" w:type="dxa"/>
            <w:hideMark/>
          </w:tcPr>
          <w:p w:rsidR="000D2E8A" w:rsidRPr="00AA258E" w:rsidRDefault="000D2E8A" w:rsidP="00AA258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b/>
                <w:bCs/>
                <w:color w:val="000000"/>
              </w:rPr>
              <w:t>Hub Coordination funds, Preschool Promise, KPI, and strategic community partnerships</w:t>
            </w:r>
          </w:p>
        </w:tc>
        <w:tc>
          <w:tcPr>
            <w:tcW w:w="3312" w:type="dxa"/>
            <w:hideMark/>
          </w:tcPr>
          <w:p w:rsidR="000D2E8A" w:rsidRDefault="000D2E8A" w:rsidP="006363A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1. 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Work with culturally responsive organizations (and/or representatives) to develop effective recruitment and referral activities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2. 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Foster strong collaborative processes across relevant </w:t>
            </w:r>
            <w:r>
              <w:rPr>
                <w:rFonts w:ascii="Calibri" w:eastAsia="Times New Roman" w:hAnsi="Calibri" w:cs="Times New Roman"/>
                <w:color w:val="000000"/>
              </w:rPr>
              <w:t>partners to decrease waiting lists, including sharing data.</w:t>
            </w:r>
          </w:p>
          <w:p w:rsidR="000D2E8A" w:rsidRDefault="000D2E8A" w:rsidP="006363A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3. 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Align assessment follow up systems across agencies and community partners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4. 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>Develop common referral systems across agencies and community partners</w:t>
            </w:r>
          </w:p>
          <w:p w:rsidR="000D2E8A" w:rsidRPr="00AA258E" w:rsidRDefault="000D2E8A" w:rsidP="006363A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 Work with partners to align and utilize developmental screening tools</w:t>
            </w:r>
          </w:p>
        </w:tc>
        <w:tc>
          <w:tcPr>
            <w:tcW w:w="2970" w:type="dxa"/>
            <w:hideMark/>
          </w:tcPr>
          <w:p w:rsidR="000D2E8A" w:rsidRDefault="000D2E8A" w:rsidP="00AA25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Increased number of c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hildren </w:t>
            </w:r>
            <w:r>
              <w:rPr>
                <w:rFonts w:ascii="Calibri" w:eastAsia="Times New Roman" w:hAnsi="Calibri" w:cs="Times New Roman"/>
                <w:color w:val="000000"/>
              </w:rPr>
              <w:t>from priority and focus populations are:</w:t>
            </w:r>
          </w:p>
          <w:p w:rsidR="000D2E8A" w:rsidRDefault="000D2E8A" w:rsidP="004610B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 P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art of a timely and effective closed loop system from screening to services.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2. 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Engaged in culturally responsive services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3. Are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being provided services in similar numbers to which they represent in region’s population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  <w:p w:rsidR="000D2E8A" w:rsidRDefault="000D2E8A" w:rsidP="004610B7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0D2E8A" w:rsidRPr="00AA258E" w:rsidRDefault="000D2E8A" w:rsidP="006363A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Increased # of children </w:t>
            </w:r>
            <w:r>
              <w:rPr>
                <w:rFonts w:ascii="Calibri" w:eastAsia="Times New Roman" w:hAnsi="Calibri" w:cs="Times New Roman"/>
                <w:color w:val="000000"/>
              </w:rPr>
              <w:t>utilizing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 ELD programs (HS/OPK, home visiting, etc.)</w:t>
            </w:r>
          </w:p>
        </w:tc>
        <w:tc>
          <w:tcPr>
            <w:tcW w:w="2520" w:type="dxa"/>
            <w:vAlign w:val="center"/>
          </w:tcPr>
          <w:p w:rsidR="000D2E8A" w:rsidRDefault="000D2E8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D2E8A" w:rsidRPr="00AA258E" w:rsidTr="000D2E8A">
        <w:trPr>
          <w:trHeight w:val="2250"/>
        </w:trPr>
        <w:tc>
          <w:tcPr>
            <w:tcW w:w="2112" w:type="dxa"/>
            <w:hideMark/>
          </w:tcPr>
          <w:p w:rsidR="000D2E8A" w:rsidRPr="00AA258E" w:rsidRDefault="000D2E8A" w:rsidP="00AA258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 xml:space="preserve">2.4   The role of the hub is to work with community partners to increase the percentage of children from focus and priority populations who access </w:t>
            </w:r>
            <w:r w:rsidRPr="00AA258E">
              <w:rPr>
                <w:rFonts w:ascii="Calibri" w:eastAsia="Times New Roman" w:hAnsi="Calibri" w:cs="Times New Roman"/>
                <w:b/>
                <w:bCs/>
                <w:color w:val="000000"/>
              </w:rPr>
              <w:t>quality early learning experiences</w:t>
            </w:r>
            <w:r w:rsidRPr="00AA258E">
              <w:rPr>
                <w:rFonts w:ascii="Calibri" w:eastAsia="Times New Roman" w:hAnsi="Calibri" w:cs="Times New Roman"/>
                <w:b/>
                <w:color w:val="000000"/>
              </w:rPr>
              <w:t xml:space="preserve"> that prepare them for success in school.</w:t>
            </w:r>
          </w:p>
        </w:tc>
        <w:tc>
          <w:tcPr>
            <w:tcW w:w="2064" w:type="dxa"/>
            <w:hideMark/>
          </w:tcPr>
          <w:p w:rsidR="000D2E8A" w:rsidRPr="00AA258E" w:rsidRDefault="000D2E8A" w:rsidP="00AA258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b/>
                <w:bCs/>
                <w:color w:val="000000"/>
              </w:rPr>
              <w:t>VROOM, KPI,  FCCN, SPARK                                                                                                                                OPEC, RN</w:t>
            </w:r>
          </w:p>
        </w:tc>
        <w:tc>
          <w:tcPr>
            <w:tcW w:w="3312" w:type="dxa"/>
            <w:hideMark/>
          </w:tcPr>
          <w:p w:rsidR="000D2E8A" w:rsidRDefault="000D2E8A" w:rsidP="001B5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Partner with early learning providers to support recruitment and participation in 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SPARK. </w:t>
            </w:r>
          </w:p>
          <w:p w:rsidR="000D2E8A" w:rsidRDefault="000D2E8A" w:rsidP="001B5B7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0D2E8A" w:rsidRPr="00AA258E" w:rsidRDefault="000D2E8A" w:rsidP="001B5B7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Work with other early learning community resources to support quality early learning experiences (ex - use of VROOM, library events,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 w:rsidRPr="00AA258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970" w:type="dxa"/>
            <w:hideMark/>
          </w:tcPr>
          <w:p w:rsidR="000D2E8A" w:rsidRDefault="000D2E8A" w:rsidP="00AA25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color w:val="000000"/>
              </w:rPr>
              <w:t>Increased number of provi</w:t>
            </w:r>
            <w:r>
              <w:rPr>
                <w:rFonts w:ascii="Calibri" w:eastAsia="Times New Roman" w:hAnsi="Calibri" w:cs="Times New Roman"/>
                <w:color w:val="000000"/>
              </w:rPr>
              <w:t>ders in underserved communities</w:t>
            </w:r>
          </w:p>
          <w:p w:rsidR="000D2E8A" w:rsidRDefault="000D2E8A" w:rsidP="00AA258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0D2E8A" w:rsidRDefault="000D2E8A" w:rsidP="00AA25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Increase number of providers participating in SPARK</w:t>
            </w:r>
          </w:p>
          <w:p w:rsidR="000D2E8A" w:rsidRDefault="000D2E8A" w:rsidP="00AA25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0D2E8A" w:rsidRPr="00AA258E" w:rsidRDefault="000D2E8A" w:rsidP="00AA25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Improved KA scores over time.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0D2E8A" w:rsidRDefault="000D2E8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D2E8A" w:rsidRPr="00AA258E" w:rsidTr="000D2E8A">
        <w:trPr>
          <w:trHeight w:val="288"/>
        </w:trPr>
        <w:tc>
          <w:tcPr>
            <w:tcW w:w="2112" w:type="dxa"/>
            <w:hideMark/>
          </w:tcPr>
          <w:p w:rsidR="000D2E8A" w:rsidRPr="00AA258E" w:rsidRDefault="000D2E8A" w:rsidP="00AA258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064" w:type="dxa"/>
            <w:hideMark/>
          </w:tcPr>
          <w:p w:rsidR="000D2E8A" w:rsidRPr="00AA258E" w:rsidRDefault="000D2E8A" w:rsidP="00AA258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12" w:type="dxa"/>
            <w:hideMark/>
          </w:tcPr>
          <w:p w:rsidR="000D2E8A" w:rsidRPr="00AA258E" w:rsidRDefault="000D2E8A" w:rsidP="00AA25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0" w:type="dxa"/>
            <w:hideMark/>
          </w:tcPr>
          <w:p w:rsidR="000D2E8A" w:rsidRPr="00AA258E" w:rsidRDefault="000D2E8A" w:rsidP="00AA25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</w:tcPr>
          <w:p w:rsidR="000D2E8A" w:rsidRDefault="000D2E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D2E8A" w:rsidRPr="00AA258E" w:rsidTr="000D2E8A">
        <w:trPr>
          <w:trHeight w:val="3420"/>
        </w:trPr>
        <w:tc>
          <w:tcPr>
            <w:tcW w:w="2112" w:type="dxa"/>
            <w:hideMark/>
          </w:tcPr>
          <w:p w:rsidR="000D2E8A" w:rsidRPr="00AA258E" w:rsidRDefault="000D2E8A" w:rsidP="00AA258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b/>
                <w:color w:val="000000"/>
              </w:rPr>
              <w:t xml:space="preserve">3.1       The role of the hub is to work with early learning programs and other partners to ensure children and families from focus and priority populations access </w:t>
            </w:r>
            <w:r w:rsidRPr="00AA25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family support services. </w:t>
            </w:r>
          </w:p>
        </w:tc>
        <w:tc>
          <w:tcPr>
            <w:tcW w:w="2064" w:type="dxa"/>
            <w:hideMark/>
          </w:tcPr>
          <w:p w:rsidR="000D2E8A" w:rsidRPr="00AA258E" w:rsidRDefault="000D2E8A" w:rsidP="00AA258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Hub Coordination, Stable and Attached Families,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211, </w:t>
            </w:r>
            <w:r w:rsidRPr="00AA25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and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other </w:t>
            </w:r>
            <w:r w:rsidRPr="00AA258E">
              <w:rPr>
                <w:rFonts w:ascii="Calibri" w:eastAsia="Times New Roman" w:hAnsi="Calibri" w:cs="Times New Roman"/>
                <w:b/>
                <w:bCs/>
                <w:color w:val="000000"/>
              </w:rPr>
              <w:t>strategic community partnerships</w:t>
            </w:r>
          </w:p>
        </w:tc>
        <w:tc>
          <w:tcPr>
            <w:tcW w:w="3312" w:type="dxa"/>
            <w:hideMark/>
          </w:tcPr>
          <w:p w:rsidR="000D2E8A" w:rsidRDefault="000D2E8A" w:rsidP="00350C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Ensure partner agencies 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ex  -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DHS) and community groups are imbedding information about other supports such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 and use of, 211, SNAP, TANF, food banks, housing services </w:t>
            </w:r>
            <w:r>
              <w:rPr>
                <w:rFonts w:ascii="Calibri" w:eastAsia="Times New Roman" w:hAnsi="Calibri" w:cs="Times New Roman"/>
                <w:color w:val="000000"/>
              </w:rPr>
              <w:t>into their services to clients.</w:t>
            </w:r>
          </w:p>
          <w:p w:rsidR="000D2E8A" w:rsidRDefault="000D2E8A" w:rsidP="00350CF8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0D2E8A" w:rsidRDefault="000D2E8A" w:rsidP="00350C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Work with early learning providers to assure that families are accessing state-funded and community support programs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0D2E8A" w:rsidRPr="00AA258E" w:rsidRDefault="000D2E8A" w:rsidP="00AA25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hideMark/>
          </w:tcPr>
          <w:p w:rsidR="000D2E8A" w:rsidRDefault="000D2E8A" w:rsidP="00C720F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Increased referrals to and use of food, housing and other basic supports</w:t>
            </w:r>
          </w:p>
          <w:p w:rsidR="000D2E8A" w:rsidRDefault="000D2E8A" w:rsidP="00C720F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0D2E8A" w:rsidRDefault="000D2E8A" w:rsidP="00C720F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0D2E8A" w:rsidRDefault="000D2E8A" w:rsidP="00C720F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0D2E8A" w:rsidRDefault="000D2E8A" w:rsidP="00C720F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0D2E8A" w:rsidRDefault="000D2E8A" w:rsidP="00C720F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0D2E8A" w:rsidRDefault="000D2E8A" w:rsidP="00C720F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Increased access to high-quality child care and other employment supports.</w:t>
            </w:r>
          </w:p>
          <w:p w:rsidR="000D2E8A" w:rsidRPr="00AA258E" w:rsidRDefault="000D2E8A" w:rsidP="00C720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0D2E8A" w:rsidRDefault="000D2E8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HEALTHY, STABLE, &amp; ATTACHED FAMILIES</w:t>
            </w:r>
          </w:p>
        </w:tc>
      </w:tr>
      <w:tr w:rsidR="000D2E8A" w:rsidRPr="00AA258E" w:rsidTr="000D2E8A">
        <w:trPr>
          <w:trHeight w:val="3990"/>
        </w:trPr>
        <w:tc>
          <w:tcPr>
            <w:tcW w:w="2112" w:type="dxa"/>
            <w:hideMark/>
          </w:tcPr>
          <w:p w:rsidR="000D2E8A" w:rsidRPr="00AA258E" w:rsidRDefault="000D2E8A" w:rsidP="00AA258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3.2       The role of hub is to</w:t>
            </w:r>
            <w:r w:rsidRPr="00AA25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collaborate with the health sector to address the social determinants of health</w:t>
            </w:r>
            <w:r w:rsidRPr="00AA258E">
              <w:rPr>
                <w:rFonts w:ascii="Calibri" w:eastAsia="Times New Roman" w:hAnsi="Calibri" w:cs="Times New Roman"/>
                <w:b/>
                <w:color w:val="000000"/>
              </w:rPr>
              <w:t xml:space="preserve"> that lead to health and well-being for young children and their families. </w:t>
            </w:r>
          </w:p>
        </w:tc>
        <w:tc>
          <w:tcPr>
            <w:tcW w:w="2064" w:type="dxa"/>
            <w:hideMark/>
          </w:tcPr>
          <w:p w:rsidR="000D2E8A" w:rsidRPr="00AA258E" w:rsidRDefault="000D2E8A" w:rsidP="00AA258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b/>
                <w:bCs/>
                <w:color w:val="000000"/>
              </w:rPr>
              <w:t>Hub Coordination, Stable and Attached Families, and strategic community partnerships</w:t>
            </w:r>
          </w:p>
        </w:tc>
        <w:tc>
          <w:tcPr>
            <w:tcW w:w="3312" w:type="dxa"/>
            <w:hideMark/>
          </w:tcPr>
          <w:p w:rsidR="000D2E8A" w:rsidRDefault="000D2E8A" w:rsidP="00E575C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Educate and support 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medical practitioners </w:t>
            </w:r>
            <w:r>
              <w:rPr>
                <w:rFonts w:ascii="Calibri" w:eastAsia="Times New Roman" w:hAnsi="Calibri" w:cs="Times New Roman"/>
                <w:color w:val="000000"/>
              </w:rPr>
              <w:t>to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 embed learning resources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and family supports noted in 3.1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 into</w:t>
            </w:r>
            <w:proofErr w:type="gramEnd"/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 their medical practice.  </w:t>
            </w:r>
          </w:p>
          <w:p w:rsidR="000D2E8A" w:rsidRDefault="000D2E8A" w:rsidP="00AA258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0D2E8A" w:rsidRDefault="000D2E8A" w:rsidP="00AA25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Identify common social determinants of health with health care partners</w:t>
            </w:r>
          </w:p>
          <w:p w:rsidR="000D2E8A" w:rsidRDefault="000D2E8A" w:rsidP="00AA258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0D2E8A" w:rsidRPr="00AA258E" w:rsidRDefault="000D2E8A" w:rsidP="00E575C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Utilize hub partnerships and network to support the health sectors’ success in addressing social determinants of health (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i.e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– co-investments and activities, community outreach,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970" w:type="dxa"/>
            <w:hideMark/>
          </w:tcPr>
          <w:p w:rsidR="000D2E8A" w:rsidRDefault="000D2E8A" w:rsidP="00493A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Identification of common goals and plan for implementation with CCO and health partners related to social determinants of health</w:t>
            </w:r>
          </w:p>
          <w:p w:rsidR="000D2E8A" w:rsidRDefault="000D2E8A" w:rsidP="00493AD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0D2E8A" w:rsidRDefault="000D2E8A" w:rsidP="00493A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Increased shared strategies by health and early partners to identify and address barriers to children’s healthy physical, cognitive, and social development</w:t>
            </w:r>
          </w:p>
          <w:p w:rsidR="000D2E8A" w:rsidRPr="00AA258E" w:rsidRDefault="000D2E8A" w:rsidP="00493A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0D2E8A" w:rsidRDefault="000D2E8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D2E8A" w:rsidRPr="00AA258E" w:rsidTr="000D2E8A">
        <w:trPr>
          <w:trHeight w:val="2304"/>
        </w:trPr>
        <w:tc>
          <w:tcPr>
            <w:tcW w:w="2112" w:type="dxa"/>
            <w:hideMark/>
          </w:tcPr>
          <w:p w:rsidR="000D2E8A" w:rsidRPr="00AA258E" w:rsidRDefault="000D2E8A" w:rsidP="00AA258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b/>
                <w:color w:val="000000"/>
              </w:rPr>
              <w:t>3.3       The role of the hub is to work with community partners to</w:t>
            </w:r>
            <w:r w:rsidRPr="00AA25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increase protective factors and reduce childhood experiences of abuse or neglect.</w:t>
            </w:r>
          </w:p>
        </w:tc>
        <w:tc>
          <w:tcPr>
            <w:tcW w:w="2064" w:type="dxa"/>
            <w:hideMark/>
          </w:tcPr>
          <w:p w:rsidR="000D2E8A" w:rsidRPr="00AA258E" w:rsidRDefault="000D2E8A" w:rsidP="00AA258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b/>
                <w:bCs/>
                <w:color w:val="000000"/>
              </w:rPr>
              <w:t>Hub Coordination,  OPEC, Stable and Attached Families, SPARK,  and strategic community partnerships</w:t>
            </w:r>
          </w:p>
        </w:tc>
        <w:tc>
          <w:tcPr>
            <w:tcW w:w="3312" w:type="dxa"/>
            <w:hideMark/>
          </w:tcPr>
          <w:p w:rsidR="000D2E8A" w:rsidRDefault="000D2E8A" w:rsidP="00F41BF0">
            <w:pPr>
              <w:rPr>
                <w:rFonts w:ascii="Calibri" w:eastAsia="Times New Roman" w:hAnsi="Calibri" w:cs="Times New Roman"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Train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early 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learning professionals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and other community leaders re: ACES, protective factors and other elements of 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Trauma Informed Care. </w:t>
            </w:r>
          </w:p>
          <w:p w:rsidR="000D2E8A" w:rsidRDefault="000D2E8A" w:rsidP="00985DC1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0D2E8A" w:rsidRDefault="000D2E8A" w:rsidP="00B259C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Coordinate and promote the use of 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stress/violence/substance </w:t>
            </w:r>
            <w:r>
              <w:rPr>
                <w:rFonts w:ascii="Calibri" w:eastAsia="Times New Roman" w:hAnsi="Calibri" w:cs="Times New Roman"/>
                <w:color w:val="000000"/>
              </w:rPr>
              <w:t>abuse  screenings and referrals to children (and families) at risk of abuse and neglect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  <w:p w:rsidR="000D2E8A" w:rsidRDefault="000D2E8A" w:rsidP="00985DC1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0D2E8A" w:rsidRDefault="000D2E8A" w:rsidP="00985DC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Promote use of 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VROOM, library programs, preschool camps, relief nurseries, home visits, etc.  </w:t>
            </w:r>
            <w:r>
              <w:rPr>
                <w:rFonts w:ascii="Calibri" w:eastAsia="Times New Roman" w:hAnsi="Calibri" w:cs="Times New Roman"/>
                <w:color w:val="000000"/>
              </w:rPr>
              <w:t>in community</w:t>
            </w:r>
          </w:p>
          <w:p w:rsidR="000D2E8A" w:rsidRDefault="000D2E8A" w:rsidP="00985DC1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0D2E8A" w:rsidRDefault="000D2E8A" w:rsidP="00985DC1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0D2E8A" w:rsidRPr="00AA258E" w:rsidRDefault="000D2E8A" w:rsidP="00985DC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hideMark/>
          </w:tcPr>
          <w:p w:rsidR="000D2E8A" w:rsidRDefault="000D2E8A" w:rsidP="00AA25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Increased community awareness of protective factors.</w:t>
            </w:r>
          </w:p>
          <w:p w:rsidR="000D2E8A" w:rsidRDefault="000D2E8A" w:rsidP="00AA258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0D2E8A" w:rsidRDefault="000D2E8A" w:rsidP="003E3DF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0D2E8A" w:rsidRDefault="000D2E8A" w:rsidP="003E3D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Increase in number of families at risk of abuse and neglect who access preventive services such as home visiting, relief nurseries, parent education, etc.</w:t>
            </w:r>
          </w:p>
          <w:p w:rsidR="000D2E8A" w:rsidRDefault="000D2E8A" w:rsidP="00AA258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0D2E8A" w:rsidRPr="00AA258E" w:rsidRDefault="000D2E8A" w:rsidP="004618D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Decrease in reports of abuse and neglect over time.</w:t>
            </w:r>
          </w:p>
        </w:tc>
        <w:tc>
          <w:tcPr>
            <w:tcW w:w="2520" w:type="dxa"/>
            <w:vAlign w:val="center"/>
          </w:tcPr>
          <w:p w:rsidR="000D2E8A" w:rsidRDefault="000D2E8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D2E8A" w:rsidRPr="00AA258E" w:rsidTr="000D2E8A">
        <w:trPr>
          <w:trHeight w:val="2265"/>
        </w:trPr>
        <w:tc>
          <w:tcPr>
            <w:tcW w:w="2112" w:type="dxa"/>
            <w:hideMark/>
          </w:tcPr>
          <w:p w:rsidR="000D2E8A" w:rsidRPr="00AA258E" w:rsidRDefault="000D2E8A" w:rsidP="00AA258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 xml:space="preserve">3.4       The role of the hub is to work with community partners to ensure children and families </w:t>
            </w:r>
            <w:r w:rsidRPr="00AA258E">
              <w:rPr>
                <w:rFonts w:ascii="Calibri" w:eastAsia="Times New Roman" w:hAnsi="Calibri" w:cs="Times New Roman"/>
                <w:b/>
                <w:bCs/>
                <w:color w:val="000000"/>
              </w:rPr>
              <w:t>access medical, dental, mental health and other health care services.</w:t>
            </w:r>
          </w:p>
        </w:tc>
        <w:tc>
          <w:tcPr>
            <w:tcW w:w="2064" w:type="dxa"/>
            <w:hideMark/>
          </w:tcPr>
          <w:p w:rsidR="000D2E8A" w:rsidRPr="00AA258E" w:rsidRDefault="000D2E8A" w:rsidP="0028150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Hub Coordination,  OPEC, Stable and Attached Families,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early learning/K-12 providers</w:t>
            </w:r>
            <w:r w:rsidRPr="00AA258E">
              <w:rPr>
                <w:rFonts w:ascii="Calibri" w:eastAsia="Times New Roman" w:hAnsi="Calibri" w:cs="Times New Roman"/>
                <w:b/>
                <w:bCs/>
                <w:color w:val="000000"/>
              </w:rPr>
              <w:t>,  and strategic community partnerships</w:t>
            </w:r>
          </w:p>
        </w:tc>
        <w:tc>
          <w:tcPr>
            <w:tcW w:w="3312" w:type="dxa"/>
            <w:hideMark/>
          </w:tcPr>
          <w:p w:rsidR="000D2E8A" w:rsidRPr="00AA258E" w:rsidRDefault="000D2E8A" w:rsidP="009718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Educate and support early childhood partners to make effective r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>eferrals and service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AA25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to medical and other health care services to qualifying families.</w:t>
            </w:r>
          </w:p>
        </w:tc>
        <w:tc>
          <w:tcPr>
            <w:tcW w:w="2970" w:type="dxa"/>
            <w:hideMark/>
          </w:tcPr>
          <w:p w:rsidR="000D2E8A" w:rsidRPr="00AA258E" w:rsidRDefault="000D2E8A" w:rsidP="00AA25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A258E">
              <w:rPr>
                <w:rFonts w:ascii="Calibri" w:eastAsia="Times New Roman" w:hAnsi="Calibri" w:cs="Times New Roman"/>
                <w:color w:val="000000"/>
              </w:rPr>
              <w:t>Increased well-child visits, dental visits/dental home, immunizations</w:t>
            </w:r>
          </w:p>
        </w:tc>
        <w:tc>
          <w:tcPr>
            <w:tcW w:w="2520" w:type="dxa"/>
            <w:vAlign w:val="center"/>
          </w:tcPr>
          <w:p w:rsidR="000D2E8A" w:rsidRDefault="000D2E8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D2E8A" w:rsidTr="000D2E8A">
        <w:tc>
          <w:tcPr>
            <w:tcW w:w="2112" w:type="dxa"/>
          </w:tcPr>
          <w:p w:rsidR="000D2E8A" w:rsidRPr="005D44E2" w:rsidRDefault="000D2E8A">
            <w:pPr>
              <w:rPr>
                <w:b/>
              </w:rPr>
            </w:pPr>
          </w:p>
        </w:tc>
        <w:tc>
          <w:tcPr>
            <w:tcW w:w="2064" w:type="dxa"/>
          </w:tcPr>
          <w:p w:rsidR="000D2E8A" w:rsidRDefault="000D2E8A"/>
        </w:tc>
        <w:tc>
          <w:tcPr>
            <w:tcW w:w="3312" w:type="dxa"/>
          </w:tcPr>
          <w:p w:rsidR="000D2E8A" w:rsidRDefault="000D2E8A"/>
        </w:tc>
        <w:tc>
          <w:tcPr>
            <w:tcW w:w="2970" w:type="dxa"/>
          </w:tcPr>
          <w:p w:rsidR="000D2E8A" w:rsidRDefault="000D2E8A"/>
        </w:tc>
        <w:tc>
          <w:tcPr>
            <w:tcW w:w="2520" w:type="dxa"/>
          </w:tcPr>
          <w:p w:rsidR="000D2E8A" w:rsidRDefault="000D2E8A"/>
        </w:tc>
      </w:tr>
    </w:tbl>
    <w:p w:rsidR="00E43A54" w:rsidRDefault="00605660"/>
    <w:sectPr w:rsidR="00E43A54" w:rsidSect="00615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60" w:rsidRDefault="00605660" w:rsidP="005D44E2">
      <w:pPr>
        <w:spacing w:after="0" w:line="240" w:lineRule="auto"/>
      </w:pPr>
      <w:r>
        <w:separator/>
      </w:r>
    </w:p>
  </w:endnote>
  <w:endnote w:type="continuationSeparator" w:id="0">
    <w:p w:rsidR="00605660" w:rsidRDefault="00605660" w:rsidP="005D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33" w:rsidRDefault="002E1A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33" w:rsidRDefault="002E1A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33" w:rsidRDefault="002E1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60" w:rsidRDefault="00605660" w:rsidP="005D44E2">
      <w:pPr>
        <w:spacing w:after="0" w:line="240" w:lineRule="auto"/>
      </w:pPr>
      <w:r>
        <w:separator/>
      </w:r>
    </w:p>
  </w:footnote>
  <w:footnote w:type="continuationSeparator" w:id="0">
    <w:p w:rsidR="00605660" w:rsidRDefault="00605660" w:rsidP="005D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33" w:rsidRDefault="002E1A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E2" w:rsidRPr="005D44E2" w:rsidRDefault="002E1A33" w:rsidP="005D44E2">
    <w:pPr>
      <w:pStyle w:val="Header"/>
      <w:jc w:val="center"/>
      <w:rPr>
        <w:b/>
        <w:i/>
        <w:sz w:val="32"/>
        <w:szCs w:val="32"/>
      </w:rPr>
    </w:pPr>
    <w:sdt>
      <w:sdtPr>
        <w:rPr>
          <w:b/>
          <w:i/>
          <w:sz w:val="32"/>
          <w:szCs w:val="32"/>
        </w:rPr>
        <w:id w:val="-683822956"/>
        <w:docPartObj>
          <w:docPartGallery w:val="Watermarks"/>
          <w:docPartUnique/>
        </w:docPartObj>
      </w:sdtPr>
      <w:sdtContent>
        <w:r w:rsidRPr="002E1A33">
          <w:rPr>
            <w:b/>
            <w:i/>
            <w:noProof/>
            <w:sz w:val="32"/>
            <w:szCs w:val="3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D44E2" w:rsidRPr="005D44E2">
      <w:rPr>
        <w:b/>
        <w:i/>
        <w:sz w:val="32"/>
        <w:szCs w:val="32"/>
      </w:rPr>
      <w:t>Draft Roles and Indicators Logic Model for Measuring Success Committee: May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33" w:rsidRDefault="002E1A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00"/>
    <w:rsid w:val="000121AF"/>
    <w:rsid w:val="0004745B"/>
    <w:rsid w:val="00094E6C"/>
    <w:rsid w:val="000D2E8A"/>
    <w:rsid w:val="001B5B70"/>
    <w:rsid w:val="00281506"/>
    <w:rsid w:val="002E1A33"/>
    <w:rsid w:val="00350CF8"/>
    <w:rsid w:val="003E3DFB"/>
    <w:rsid w:val="004610B7"/>
    <w:rsid w:val="004618D7"/>
    <w:rsid w:val="00493ADC"/>
    <w:rsid w:val="005B6AE7"/>
    <w:rsid w:val="005D44E2"/>
    <w:rsid w:val="00605660"/>
    <w:rsid w:val="006151AB"/>
    <w:rsid w:val="006363A7"/>
    <w:rsid w:val="00923366"/>
    <w:rsid w:val="009718E1"/>
    <w:rsid w:val="00985DC1"/>
    <w:rsid w:val="00AA258E"/>
    <w:rsid w:val="00B259C5"/>
    <w:rsid w:val="00B64E4F"/>
    <w:rsid w:val="00B96217"/>
    <w:rsid w:val="00BC4D0E"/>
    <w:rsid w:val="00BE0900"/>
    <w:rsid w:val="00C720F9"/>
    <w:rsid w:val="00C81B36"/>
    <w:rsid w:val="00D1458C"/>
    <w:rsid w:val="00D563D7"/>
    <w:rsid w:val="00E575C9"/>
    <w:rsid w:val="00F41BF0"/>
    <w:rsid w:val="00F6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E2"/>
  </w:style>
  <w:style w:type="paragraph" w:styleId="Footer">
    <w:name w:val="footer"/>
    <w:basedOn w:val="Normal"/>
    <w:link w:val="FooterChar"/>
    <w:uiPriority w:val="99"/>
    <w:unhideWhenUsed/>
    <w:rsid w:val="005D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E2"/>
  </w:style>
  <w:style w:type="paragraph" w:styleId="Footer">
    <w:name w:val="footer"/>
    <w:basedOn w:val="Normal"/>
    <w:link w:val="FooterChar"/>
    <w:uiPriority w:val="99"/>
    <w:unhideWhenUsed/>
    <w:rsid w:val="005D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PARRISH Susan</dc:creator>
  <cp:lastModifiedBy>PARRISH Susan</cp:lastModifiedBy>
  <cp:revision>11</cp:revision>
  <dcterms:created xsi:type="dcterms:W3CDTF">2017-05-09T17:45:00Z</dcterms:created>
  <dcterms:modified xsi:type="dcterms:W3CDTF">2017-05-09T18:11:00Z</dcterms:modified>
</cp:coreProperties>
</file>