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78" w:rsidRPr="00222D33" w:rsidRDefault="00EF4778" w:rsidP="008C0EE2">
      <w:pPr>
        <w:pStyle w:val="NoSpacing"/>
        <w:rPr>
          <w:b/>
        </w:rPr>
      </w:pPr>
      <w:bookmarkStart w:id="0" w:name="_GoBack"/>
      <w:bookmarkEnd w:id="0"/>
      <w:r w:rsidRPr="00222D33">
        <w:rPr>
          <w:b/>
        </w:rPr>
        <w:t>Policy Discussion to lead to Development of Administrative Rules</w:t>
      </w:r>
      <w:r w:rsidR="001D5859" w:rsidRPr="00222D33">
        <w:rPr>
          <w:b/>
        </w:rPr>
        <w:t xml:space="preserve"> for Regulated Subsidy Providers </w:t>
      </w:r>
    </w:p>
    <w:p w:rsidR="00FF0BCF" w:rsidRPr="00222D33" w:rsidRDefault="00FF0BCF" w:rsidP="008C0EE2">
      <w:pPr>
        <w:pStyle w:val="NoSpacing"/>
        <w:rPr>
          <w:b/>
        </w:rPr>
      </w:pPr>
    </w:p>
    <w:p w:rsidR="00222D33" w:rsidRDefault="00222D33" w:rsidP="00FF0BCF">
      <w:pPr>
        <w:pStyle w:val="NoSpacing"/>
        <w:rPr>
          <w:b/>
        </w:rPr>
      </w:pPr>
    </w:p>
    <w:p w:rsidR="00222D33" w:rsidRDefault="00222D33" w:rsidP="00FF0BCF">
      <w:pPr>
        <w:pStyle w:val="NoSpacing"/>
        <w:rPr>
          <w:b/>
        </w:rPr>
      </w:pPr>
    </w:p>
    <w:p w:rsidR="00CB19C8" w:rsidRPr="00222D33" w:rsidRDefault="00CB19C8" w:rsidP="00FF0BCF">
      <w:pPr>
        <w:pStyle w:val="NoSpacing"/>
        <w:rPr>
          <w:b/>
        </w:rPr>
      </w:pPr>
      <w:r w:rsidRPr="00222D33">
        <w:rPr>
          <w:b/>
        </w:rPr>
        <w:t>Background:</w:t>
      </w:r>
    </w:p>
    <w:p w:rsidR="00CB19C8" w:rsidRPr="00222D33" w:rsidRDefault="00CB19C8" w:rsidP="00FF0BCF">
      <w:pPr>
        <w:pStyle w:val="NoSpacing"/>
        <w:rPr>
          <w:b/>
        </w:rPr>
      </w:pPr>
    </w:p>
    <w:p w:rsidR="006257D2" w:rsidRPr="00222D33" w:rsidRDefault="00FF0BCF" w:rsidP="00FF0BCF">
      <w:pPr>
        <w:pStyle w:val="NoSpacing"/>
        <w:rPr>
          <w:b/>
        </w:rPr>
      </w:pPr>
      <w:r w:rsidRPr="00222D33">
        <w:rPr>
          <w:b/>
        </w:rPr>
        <w:t xml:space="preserve">The Early Learning Division is currently engaged </w:t>
      </w:r>
      <w:r w:rsidR="001D5859" w:rsidRPr="00222D33">
        <w:rPr>
          <w:b/>
        </w:rPr>
        <w:t xml:space="preserve">in implementing new monitoring requirements for license-exempt child care providers.  </w:t>
      </w:r>
      <w:r w:rsidR="00094C51" w:rsidRPr="00222D33">
        <w:rPr>
          <w:b/>
        </w:rPr>
        <w:t xml:space="preserve">During the 2015 legislative session, the Legislature passed HB 2015, </w:t>
      </w:r>
      <w:r w:rsidR="001D5859" w:rsidRPr="00222D33">
        <w:rPr>
          <w:b/>
        </w:rPr>
        <w:t xml:space="preserve">a significant reform of Employment Related Day Care (ERDC), Oregon’s child care subsidy program for working families experiencing poverty.  This legislation will enable ERDC to: better support families experiencing poverty to participate in the workforce; promote positive child development; increase the number of children in quality care; and better ensure the health and safety of children. </w:t>
      </w:r>
      <w:r w:rsidR="00094C51" w:rsidRPr="00222D33">
        <w:rPr>
          <w:b/>
        </w:rPr>
        <w:t xml:space="preserve"> </w:t>
      </w:r>
    </w:p>
    <w:p w:rsidR="006257D2" w:rsidRPr="00222D33" w:rsidRDefault="006257D2" w:rsidP="00FF0BCF">
      <w:pPr>
        <w:pStyle w:val="NoSpacing"/>
        <w:rPr>
          <w:b/>
        </w:rPr>
      </w:pPr>
    </w:p>
    <w:p w:rsidR="00FF0BCF" w:rsidRPr="00222D33" w:rsidRDefault="006257D2" w:rsidP="00FF0BCF">
      <w:pPr>
        <w:pStyle w:val="NoSpacing"/>
        <w:rPr>
          <w:b/>
        </w:rPr>
      </w:pPr>
      <w:r w:rsidRPr="00222D33">
        <w:rPr>
          <w:b/>
        </w:rPr>
        <w:t>The Early Learning Council will promulgate new rules covering the on-site health and safety monitoring of licensed-exempt providers serving families receiving ERDC</w:t>
      </w:r>
      <w:r w:rsidR="00DA6863" w:rsidRPr="00222D33">
        <w:rPr>
          <w:b/>
        </w:rPr>
        <w:t>, now referred to as “Regulated Subsidy Providers”</w:t>
      </w:r>
      <w:r w:rsidRPr="00222D33">
        <w:rPr>
          <w:b/>
        </w:rPr>
        <w:t xml:space="preserve">.  </w:t>
      </w:r>
      <w:r w:rsidR="00094C51" w:rsidRPr="00222D33">
        <w:rPr>
          <w:b/>
        </w:rPr>
        <w:t xml:space="preserve">Division staff </w:t>
      </w:r>
      <w:r w:rsidR="00DA6863" w:rsidRPr="00222D33">
        <w:rPr>
          <w:b/>
        </w:rPr>
        <w:t>is</w:t>
      </w:r>
      <w:r w:rsidR="00515FF0" w:rsidRPr="00222D33">
        <w:rPr>
          <w:b/>
        </w:rPr>
        <w:t xml:space="preserve"> coordinating</w:t>
      </w:r>
      <w:r w:rsidR="00094C51" w:rsidRPr="00222D33">
        <w:rPr>
          <w:b/>
        </w:rPr>
        <w:t xml:space="preserve"> efforts with ERDC staff at the Department of Human Services </w:t>
      </w:r>
      <w:r w:rsidRPr="00222D33">
        <w:rPr>
          <w:b/>
        </w:rPr>
        <w:t>to align</w:t>
      </w:r>
      <w:r w:rsidR="00FF0BCF" w:rsidRPr="00222D33">
        <w:rPr>
          <w:b/>
        </w:rPr>
        <w:t xml:space="preserve"> Oregon Administrative Rules </w:t>
      </w:r>
      <w:r w:rsidRPr="00222D33">
        <w:rPr>
          <w:b/>
        </w:rPr>
        <w:t>governing</w:t>
      </w:r>
      <w:r w:rsidR="00FF0BCF" w:rsidRPr="00222D33">
        <w:rPr>
          <w:b/>
        </w:rPr>
        <w:t xml:space="preserve"> the program.  </w:t>
      </w:r>
    </w:p>
    <w:p w:rsidR="00FF0BCF" w:rsidRPr="00222D33" w:rsidRDefault="00FF0BCF" w:rsidP="008C0EE2">
      <w:pPr>
        <w:pStyle w:val="NoSpacing"/>
        <w:rPr>
          <w:b/>
        </w:rPr>
      </w:pPr>
    </w:p>
    <w:p w:rsidR="00FF0BCF" w:rsidRPr="00222D33" w:rsidRDefault="00FF0BCF" w:rsidP="008C0EE2">
      <w:pPr>
        <w:pStyle w:val="NoSpacing"/>
        <w:rPr>
          <w:u w:val="single"/>
        </w:rPr>
      </w:pPr>
      <w:r w:rsidRPr="00222D33">
        <w:rPr>
          <w:b/>
        </w:rPr>
        <w:t xml:space="preserve">The following information is a brief summary of policy areas to be </w:t>
      </w:r>
      <w:r w:rsidR="00171A11" w:rsidRPr="00222D33">
        <w:rPr>
          <w:b/>
        </w:rPr>
        <w:t>considered by the CCEC</w:t>
      </w:r>
      <w:r w:rsidRPr="00222D33">
        <w:rPr>
          <w:b/>
        </w:rPr>
        <w:t xml:space="preserve">.  Division staff will be developing draft rule language based on feedback received by the CCEC, community </w:t>
      </w:r>
      <w:r w:rsidR="001D5859" w:rsidRPr="00222D33">
        <w:rPr>
          <w:b/>
        </w:rPr>
        <w:t xml:space="preserve">and partner </w:t>
      </w:r>
      <w:r w:rsidRPr="00222D33">
        <w:rPr>
          <w:b/>
        </w:rPr>
        <w:t>engagement.</w:t>
      </w:r>
      <w:r w:rsidR="00793529" w:rsidRPr="00222D33">
        <w:rPr>
          <w:b/>
        </w:rPr>
        <w:t xml:space="preserve">  </w:t>
      </w:r>
    </w:p>
    <w:p w:rsidR="00222D33" w:rsidRDefault="00222D33" w:rsidP="008C0EE2">
      <w:pPr>
        <w:pStyle w:val="NoSpacing"/>
        <w:rPr>
          <w:u w:val="single"/>
        </w:rPr>
      </w:pPr>
    </w:p>
    <w:p w:rsidR="00985E73" w:rsidRPr="00222D33" w:rsidRDefault="00985E73" w:rsidP="008C0EE2">
      <w:pPr>
        <w:pStyle w:val="NoSpacing"/>
        <w:rPr>
          <w:u w:val="single"/>
        </w:rPr>
      </w:pPr>
      <w:r w:rsidRPr="00222D3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5BA25" wp14:editId="4EC2F362">
                <wp:simplePos x="0" y="0"/>
                <wp:positionH relativeFrom="column">
                  <wp:posOffset>161778</wp:posOffset>
                </wp:positionH>
                <wp:positionV relativeFrom="paragraph">
                  <wp:posOffset>115717</wp:posOffset>
                </wp:positionV>
                <wp:extent cx="53784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5pt,9.1pt" to="436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" strokecolor="#4579b8 [3044]"/>
            </w:pict>
          </mc:Fallback>
        </mc:AlternateContent>
      </w:r>
    </w:p>
    <w:p w:rsidR="006257D2" w:rsidRPr="00222D33" w:rsidRDefault="006257D2" w:rsidP="008C0EE2">
      <w:pPr>
        <w:pStyle w:val="NoSpacing"/>
        <w:rPr>
          <w:u w:val="single"/>
        </w:rPr>
      </w:pPr>
    </w:p>
    <w:p w:rsidR="00CB19C8" w:rsidRPr="00222D33" w:rsidRDefault="00CB19C8" w:rsidP="00222D33">
      <w:pPr>
        <w:pStyle w:val="NoSpacing"/>
      </w:pPr>
      <w:r w:rsidRPr="00222D33">
        <w:t>Since the Early Learning council will be adopting administrative rules for a new “class” of child care providers in the domains of Health and Safety, Child to Provider Ratios, and Compliance, this is an opportunity to consider the following policy questions:</w:t>
      </w:r>
    </w:p>
    <w:p w:rsidR="00CB19C8" w:rsidRPr="00222D33" w:rsidRDefault="00CB19C8" w:rsidP="00222D33">
      <w:pPr>
        <w:pStyle w:val="NoSpacing"/>
      </w:pPr>
    </w:p>
    <w:p w:rsidR="00CB19C8" w:rsidRPr="00222D33" w:rsidRDefault="00CB19C8" w:rsidP="00222D33">
      <w:pPr>
        <w:pStyle w:val="NoSpacing"/>
        <w:numPr>
          <w:ilvl w:val="0"/>
          <w:numId w:val="16"/>
        </w:numPr>
      </w:pPr>
      <w:r w:rsidRPr="00222D33">
        <w:t xml:space="preserve">What is necessary within the domains of Health and Safety, Child to staff Ratios, and Compliance to achieve the desired outcomes and </w:t>
      </w:r>
      <w:r w:rsidR="00A66142" w:rsidRPr="00222D33">
        <w:t>principles?</w:t>
      </w:r>
      <w:r w:rsidRPr="00222D33">
        <w:t xml:space="preserve"> </w:t>
      </w:r>
    </w:p>
    <w:p w:rsidR="00222D33" w:rsidRDefault="00222D33" w:rsidP="00222D33">
      <w:pPr>
        <w:pStyle w:val="NoSpacing"/>
      </w:pPr>
    </w:p>
    <w:p w:rsidR="00CB19C8" w:rsidRDefault="00CB19C8" w:rsidP="00222D33">
      <w:pPr>
        <w:pStyle w:val="NoSpacing"/>
        <w:numPr>
          <w:ilvl w:val="0"/>
          <w:numId w:val="16"/>
        </w:numPr>
      </w:pPr>
      <w:r w:rsidRPr="00222D33">
        <w:t>Are the existing administrative rules for other child care settings, in those domains achieving the outcomes and meeting the principles?</w:t>
      </w:r>
    </w:p>
    <w:p w:rsidR="00222D33" w:rsidRDefault="00222D33" w:rsidP="00222D33">
      <w:pPr>
        <w:pStyle w:val="ListParagraph"/>
      </w:pPr>
    </w:p>
    <w:p w:rsidR="006257D2" w:rsidRPr="00222D33" w:rsidRDefault="00CB19C8" w:rsidP="00222D33">
      <w:pPr>
        <w:pStyle w:val="NoSpacing"/>
        <w:numPr>
          <w:ilvl w:val="0"/>
          <w:numId w:val="16"/>
        </w:numPr>
        <w:rPr>
          <w:u w:val="single"/>
        </w:rPr>
      </w:pPr>
      <w:r w:rsidRPr="00222D33">
        <w:t>What changes are necessary</w:t>
      </w:r>
      <w:r w:rsidR="001E7726" w:rsidRPr="00222D33">
        <w:t>?</w:t>
      </w:r>
    </w:p>
    <w:p w:rsidR="00E119F3" w:rsidRPr="00222D33" w:rsidRDefault="00E119F3" w:rsidP="00222D33">
      <w:pPr>
        <w:pStyle w:val="NoSpacing"/>
        <w:rPr>
          <w:u w:val="single"/>
        </w:rPr>
      </w:pPr>
    </w:p>
    <w:p w:rsidR="00222D33" w:rsidRDefault="00222D33" w:rsidP="00222D33">
      <w:pPr>
        <w:pStyle w:val="NoSpacing"/>
        <w:rPr>
          <w:u w:val="single"/>
        </w:rPr>
      </w:pPr>
    </w:p>
    <w:p w:rsidR="00FE40E5" w:rsidRPr="00222D33" w:rsidRDefault="00EE2E17" w:rsidP="00222D33">
      <w:pPr>
        <w:pStyle w:val="NoSpacing"/>
        <w:rPr>
          <w:u w:val="single"/>
        </w:rPr>
      </w:pPr>
      <w:r w:rsidRPr="00222D33">
        <w:rPr>
          <w:u w:val="single"/>
        </w:rPr>
        <w:t>New Health and Safety, Child to Provider Ratios and Compliance Requirements</w:t>
      </w:r>
      <w:r w:rsidR="00FE40E5" w:rsidRPr="00222D33">
        <w:rPr>
          <w:u w:val="single"/>
        </w:rPr>
        <w:t xml:space="preserve"> </w:t>
      </w:r>
    </w:p>
    <w:p w:rsidR="00FE40E5" w:rsidRPr="00222D33" w:rsidRDefault="00FE40E5" w:rsidP="00222D33">
      <w:pPr>
        <w:pStyle w:val="NoSpacing"/>
        <w:rPr>
          <w:u w:val="single"/>
        </w:rPr>
      </w:pPr>
    </w:p>
    <w:p w:rsidR="004303AE" w:rsidRPr="00EE2E17" w:rsidRDefault="00E119F3" w:rsidP="00222D33">
      <w:pPr>
        <w:pStyle w:val="NoSpacing"/>
      </w:pPr>
      <w:r w:rsidRPr="00222D33">
        <w:t>T</w:t>
      </w:r>
      <w:r w:rsidR="004303AE" w:rsidRPr="00222D33">
        <w:t xml:space="preserve">he requirements imposed by the new law </w:t>
      </w:r>
      <w:r w:rsidRPr="00222D33">
        <w:t xml:space="preserve">are shown in the table below.  The requirements within this domain </w:t>
      </w:r>
      <w:r w:rsidR="00A93806" w:rsidRPr="00222D33">
        <w:t xml:space="preserve">are similar to or the same as </w:t>
      </w:r>
      <w:r w:rsidR="00EA1799" w:rsidRPr="00222D33">
        <w:t xml:space="preserve">the health and safety </w:t>
      </w:r>
      <w:r w:rsidR="00EE2E17" w:rsidRPr="00222D33">
        <w:t>regulations in other child c</w:t>
      </w:r>
      <w:r w:rsidR="004303AE" w:rsidRPr="00222D33">
        <w:t xml:space="preserve">are provider administrative rules. </w:t>
      </w:r>
      <w:r w:rsidR="004303AE" w:rsidRPr="00EE2E17">
        <w:t xml:space="preserve"> </w:t>
      </w:r>
    </w:p>
    <w:p w:rsidR="00EE2E17" w:rsidRDefault="00EE2E17" w:rsidP="00EE2E17"/>
    <w:p w:rsidR="00222D33" w:rsidRDefault="00222D33" w:rsidP="00EE2E17"/>
    <w:p w:rsidR="00222D33" w:rsidRDefault="00222D33" w:rsidP="00EE2E17"/>
    <w:p w:rsidR="00222D33" w:rsidRPr="00EE2E17" w:rsidRDefault="00222D33" w:rsidP="00EE2E17"/>
    <w:tbl>
      <w:tblPr>
        <w:tblStyle w:val="TableGrid"/>
        <w:tblpPr w:leftFromText="180" w:rightFromText="180" w:vertAnchor="text" w:horzAnchor="page" w:tblpX="1852" w:tblpY="201"/>
        <w:tblW w:w="0" w:type="auto"/>
        <w:tblLook w:val="04A0" w:firstRow="1" w:lastRow="0" w:firstColumn="1" w:lastColumn="0" w:noHBand="0" w:noVBand="1"/>
      </w:tblPr>
      <w:tblGrid>
        <w:gridCol w:w="8028"/>
      </w:tblGrid>
      <w:tr w:rsidR="00EC2F02" w:rsidRPr="00EE2E17" w:rsidTr="00EC2F02">
        <w:tc>
          <w:tcPr>
            <w:tcW w:w="8028" w:type="dxa"/>
            <w:shd w:val="clear" w:color="auto" w:fill="C4BC96" w:themeFill="background2" w:themeFillShade="BF"/>
          </w:tcPr>
          <w:p w:rsidR="00EC2F02" w:rsidRPr="00EE2E17" w:rsidRDefault="00EC2F02" w:rsidP="00EC2F02">
            <w:pPr>
              <w:rPr>
                <w:b/>
              </w:rPr>
            </w:pPr>
            <w:r w:rsidRPr="00EE2E17">
              <w:rPr>
                <w:b/>
              </w:rPr>
              <w:lastRenderedPageBreak/>
              <w:t xml:space="preserve">Health and Safety 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Prevention and control of infectious diseases (including immunizations).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Prevention of SIDS and use of safe sleeping practices.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Administration of medication, consistent with standards for parental consent.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Prevention of and response to emergencies due to food and allergic reactions.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Building and physical premises safety (e.g. electrical, water, vehicular hazards).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 xml:space="preserve">Prevention of shaken baby syndrome and abusive head trauma. 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Emergency preparedness and response planning.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Handling and storage of hazardous materials.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Appropriate disposal of bio-contaminants.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Appropriate precautions in transporting children.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pPr>
              <w:rPr>
                <w:b/>
              </w:rPr>
            </w:pPr>
            <w:r w:rsidRPr="00EE2E17">
              <w:t>Nutrition, access to physical activity and other subject areas necessary for child development or to protect children’s health and safety.  (OPTIONAL)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C4BC96" w:themeFill="background2" w:themeFillShade="BF"/>
          </w:tcPr>
          <w:p w:rsidR="00EC2F02" w:rsidRPr="00EE2E17" w:rsidRDefault="00EC2F02" w:rsidP="00EC2F02">
            <w:pPr>
              <w:rPr>
                <w:b/>
              </w:rPr>
            </w:pPr>
            <w:r w:rsidRPr="00EC2F02">
              <w:rPr>
                <w:b/>
              </w:rPr>
              <w:t>Child to Provider Ratio Standards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Group size limits for specific age populations.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Ratio of number of children and providers, in terms of age of children in care.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C4BC96" w:themeFill="background2" w:themeFillShade="BF"/>
          </w:tcPr>
          <w:p w:rsidR="00EC2F02" w:rsidRPr="00EE2E17" w:rsidRDefault="00EC2F02" w:rsidP="00EC2F02">
            <w:r w:rsidRPr="00EE2E17">
              <w:rPr>
                <w:b/>
              </w:rPr>
              <w:t>Compliance with State and Local Health and Safety Requirements</w:t>
            </w:r>
          </w:p>
        </w:tc>
      </w:tr>
      <w:tr w:rsidR="00EC2F02" w:rsidRPr="00EE2E17" w:rsidTr="00EC2F02">
        <w:tc>
          <w:tcPr>
            <w:tcW w:w="8028" w:type="dxa"/>
            <w:shd w:val="clear" w:color="auto" w:fill="FBD4B4" w:themeFill="accent6" w:themeFillTint="66"/>
          </w:tcPr>
          <w:p w:rsidR="00EC2F02" w:rsidRPr="00EE2E17" w:rsidRDefault="00EC2F02" w:rsidP="00EC2F02">
            <w:r w:rsidRPr="00EE2E17">
              <w:t>All caregivers are in compliance with all applicable state and local health and safety requirements.</w:t>
            </w:r>
          </w:p>
        </w:tc>
      </w:tr>
    </w:tbl>
    <w:p w:rsidR="004303AE" w:rsidRPr="00EE2E17" w:rsidRDefault="004303AE" w:rsidP="00EE2E17"/>
    <w:p w:rsidR="004303AE" w:rsidRPr="00EE2E17" w:rsidRDefault="004303AE" w:rsidP="00EE2E17"/>
    <w:p w:rsidR="004303AE" w:rsidRPr="00EE2E17" w:rsidRDefault="004303AE" w:rsidP="00EE2E17"/>
    <w:p w:rsidR="004303AE" w:rsidRPr="00EE2E17" w:rsidRDefault="004303AE" w:rsidP="00EE2E17"/>
    <w:p w:rsidR="004303AE" w:rsidRPr="00EE2E17" w:rsidRDefault="004303AE" w:rsidP="00EE2E17"/>
    <w:p w:rsidR="004303AE" w:rsidRPr="00EE2E17" w:rsidRDefault="004303AE" w:rsidP="00EE2E17"/>
    <w:p w:rsidR="004303AE" w:rsidRPr="00EE2E17" w:rsidRDefault="004303AE" w:rsidP="00EE2E17"/>
    <w:p w:rsidR="004303AE" w:rsidRPr="00EE2E17" w:rsidRDefault="004303AE" w:rsidP="00EE2E17"/>
    <w:p w:rsidR="00577444" w:rsidRPr="00EE2E17" w:rsidRDefault="00577444" w:rsidP="00EE2E17">
      <w:pPr>
        <w:rPr>
          <w:rFonts w:eastAsia="Times New Roman" w:cs="Times New Roman"/>
          <w:b/>
        </w:rPr>
      </w:pPr>
    </w:p>
    <w:p w:rsidR="00577444" w:rsidRPr="00EE2E17" w:rsidRDefault="00577444" w:rsidP="00EE2E17">
      <w:pPr>
        <w:rPr>
          <w:rFonts w:eastAsia="Times New Roman" w:cs="Times New Roman"/>
        </w:rPr>
      </w:pPr>
    </w:p>
    <w:p w:rsidR="00577444" w:rsidRPr="00EE2E17" w:rsidRDefault="00577444" w:rsidP="00EE2E17"/>
    <w:p w:rsidR="00CB19C8" w:rsidRPr="00EE2E17" w:rsidRDefault="00CB19C8" w:rsidP="00EE2E17">
      <w:pPr>
        <w:rPr>
          <w:b/>
        </w:rPr>
      </w:pPr>
    </w:p>
    <w:p w:rsidR="00577444" w:rsidRPr="00EE2E17" w:rsidRDefault="00577444" w:rsidP="00EE2E17"/>
    <w:p w:rsidR="00A07B2A" w:rsidRPr="00EE2E17" w:rsidRDefault="00A07B2A" w:rsidP="00222D33">
      <w:pPr>
        <w:pStyle w:val="NoSpacing"/>
      </w:pPr>
    </w:p>
    <w:p w:rsidR="00D1546D" w:rsidRPr="00EE2E17" w:rsidRDefault="00D1546D" w:rsidP="00222D33">
      <w:pPr>
        <w:pStyle w:val="NoSpacing"/>
      </w:pPr>
    </w:p>
    <w:p w:rsidR="00EE2E17" w:rsidRDefault="00EE2E17" w:rsidP="00222D33">
      <w:pPr>
        <w:pStyle w:val="NoSpacing"/>
      </w:pPr>
    </w:p>
    <w:p w:rsidR="00EE2E17" w:rsidRDefault="00EE2E17" w:rsidP="00222D33">
      <w:pPr>
        <w:pStyle w:val="NoSpacing"/>
      </w:pPr>
    </w:p>
    <w:p w:rsidR="00EE2E17" w:rsidRDefault="00EE2E17" w:rsidP="00222D33">
      <w:pPr>
        <w:pStyle w:val="NoSpacing"/>
      </w:pPr>
    </w:p>
    <w:p w:rsidR="00222D33" w:rsidRDefault="00222D33" w:rsidP="00222D33">
      <w:pPr>
        <w:pStyle w:val="NoSpacing"/>
      </w:pPr>
    </w:p>
    <w:p w:rsidR="00222D33" w:rsidRDefault="00222D33" w:rsidP="00222D33">
      <w:pPr>
        <w:pStyle w:val="NoSpacing"/>
      </w:pPr>
    </w:p>
    <w:p w:rsidR="00222D33" w:rsidRDefault="00222D33" w:rsidP="00222D33">
      <w:pPr>
        <w:pStyle w:val="NoSpacing"/>
      </w:pPr>
    </w:p>
    <w:p w:rsidR="00EE2E17" w:rsidRPr="00222D33" w:rsidRDefault="007F5DBA" w:rsidP="00222D33">
      <w:pPr>
        <w:pStyle w:val="NoSpacing"/>
      </w:pPr>
      <w:r w:rsidRPr="00222D33">
        <w:t xml:space="preserve">Within </w:t>
      </w:r>
      <w:r w:rsidR="00EC2F02" w:rsidRPr="00222D33">
        <w:t>each domain</w:t>
      </w:r>
      <w:r w:rsidRPr="00222D33">
        <w:t xml:space="preserve"> there are several elements to be addressed in rule.   </w:t>
      </w:r>
      <w:r w:rsidR="00EE2E17" w:rsidRPr="00222D33">
        <w:t>While this is a large body of work, t</w:t>
      </w:r>
      <w:r w:rsidRPr="00222D33">
        <w:t xml:space="preserve">he bulk of </w:t>
      </w:r>
      <w:r w:rsidR="00EE2E17" w:rsidRPr="00222D33">
        <w:t>the work is within the Health and Safety d</w:t>
      </w:r>
      <w:r w:rsidRPr="00222D33">
        <w:t>omain.</w:t>
      </w:r>
    </w:p>
    <w:p w:rsidR="00577444" w:rsidRPr="00222D33" w:rsidRDefault="00577444" w:rsidP="00222D33">
      <w:pPr>
        <w:pStyle w:val="NoSpacing"/>
      </w:pPr>
    </w:p>
    <w:p w:rsidR="00EE2E17" w:rsidRPr="00222D33" w:rsidRDefault="00EE2E17" w:rsidP="00222D33">
      <w:pPr>
        <w:pStyle w:val="NoSpacing"/>
      </w:pPr>
      <w:r w:rsidRPr="00222D33">
        <w:t>Given th</w:t>
      </w:r>
      <w:r w:rsidR="005D6FBA" w:rsidRPr="00222D33">
        <w:t>is</w:t>
      </w:r>
      <w:r w:rsidRPr="00222D33">
        <w:t xml:space="preserve"> large body of work, </w:t>
      </w:r>
      <w:r w:rsidR="00222D33" w:rsidRPr="00222D33">
        <w:t>h</w:t>
      </w:r>
      <w:r w:rsidRPr="00222D33">
        <w:t>ow does the comm</w:t>
      </w:r>
      <w:r w:rsidR="00EC2F02" w:rsidRPr="00222D33">
        <w:t>ittee wish to proceed</w:t>
      </w:r>
      <w:r w:rsidR="005D6FBA" w:rsidRPr="00222D33">
        <w:t xml:space="preserve"> </w:t>
      </w:r>
      <w:r w:rsidR="00EC2F02" w:rsidRPr="00222D33">
        <w:t>in discussing and considering the policy areas and implications for rules governing the domains and the sub-elements?</w:t>
      </w:r>
    </w:p>
    <w:p w:rsidR="00EC2F02" w:rsidRPr="00222D33" w:rsidRDefault="00EC2F02" w:rsidP="00222D33">
      <w:pPr>
        <w:pStyle w:val="NoSpacing"/>
      </w:pPr>
    </w:p>
    <w:p w:rsidR="00EC2F02" w:rsidRPr="00222D33" w:rsidRDefault="00EC2F02" w:rsidP="00222D33">
      <w:pPr>
        <w:pStyle w:val="NoSpacing"/>
        <w:rPr>
          <w:u w:val="single"/>
        </w:rPr>
      </w:pPr>
      <w:r w:rsidRPr="00222D33">
        <w:rPr>
          <w:u w:val="single"/>
        </w:rPr>
        <w:t>Options:</w:t>
      </w:r>
    </w:p>
    <w:p w:rsidR="00EE2E17" w:rsidRPr="00222D33" w:rsidRDefault="00EE2E17" w:rsidP="00222D33">
      <w:pPr>
        <w:pStyle w:val="NoSpacing"/>
      </w:pPr>
      <w:r w:rsidRPr="00222D33">
        <w:t>The committee’s meeting schedule has the committee considering this set of rules over the next five meetings.</w:t>
      </w:r>
    </w:p>
    <w:p w:rsidR="00EE2E17" w:rsidRPr="00222D33" w:rsidRDefault="00EE2E17" w:rsidP="00222D33">
      <w:pPr>
        <w:pStyle w:val="NoSpacing"/>
      </w:pPr>
    </w:p>
    <w:p w:rsidR="00933CA5" w:rsidRPr="00222D33" w:rsidRDefault="00EE2E17" w:rsidP="00222D33">
      <w:pPr>
        <w:pStyle w:val="NoSpacing"/>
      </w:pPr>
      <w:r w:rsidRPr="00222D33">
        <w:t xml:space="preserve">One option for reviewing the set of rules is to consider </w:t>
      </w:r>
      <w:r w:rsidR="00222D33" w:rsidRPr="00222D33">
        <w:t xml:space="preserve">potential rules for the domains within the context of other </w:t>
      </w:r>
      <w:r w:rsidRPr="00222D33">
        <w:t xml:space="preserve">child care provider settings.  </w:t>
      </w:r>
    </w:p>
    <w:p w:rsidR="00EE2E17" w:rsidRPr="00222D33" w:rsidRDefault="00EE2E17" w:rsidP="00222D33">
      <w:pPr>
        <w:pStyle w:val="NoSpacing"/>
      </w:pPr>
    </w:p>
    <w:p w:rsidR="00415F16" w:rsidRPr="00222D33" w:rsidRDefault="00EE2E17" w:rsidP="00222D33">
      <w:pPr>
        <w:pStyle w:val="NoSpacing"/>
      </w:pPr>
      <w:r w:rsidRPr="00222D33">
        <w:t xml:space="preserve">This approach could </w:t>
      </w:r>
      <w:r w:rsidR="00EC2F02" w:rsidRPr="00222D33">
        <w:t xml:space="preserve">serve several purposes:  </w:t>
      </w:r>
    </w:p>
    <w:p w:rsidR="00415F16" w:rsidRPr="00222D33" w:rsidRDefault="00222D33" w:rsidP="00222D33">
      <w:pPr>
        <w:pStyle w:val="NoSpacing"/>
        <w:numPr>
          <w:ilvl w:val="0"/>
          <w:numId w:val="17"/>
        </w:numPr>
      </w:pPr>
      <w:r w:rsidRPr="00222D33">
        <w:t>C</w:t>
      </w:r>
      <w:r w:rsidR="00EC2F02" w:rsidRPr="00222D33">
        <w:t>onsider and determine the</w:t>
      </w:r>
      <w:r w:rsidR="00EE2E17" w:rsidRPr="00222D33">
        <w:t xml:space="preserve"> rigor</w:t>
      </w:r>
      <w:r w:rsidR="00EC2F02" w:rsidRPr="00222D33">
        <w:t xml:space="preserve"> of </w:t>
      </w:r>
      <w:r w:rsidRPr="00222D33">
        <w:t>child care rules and</w:t>
      </w:r>
      <w:r w:rsidR="00EC2F02" w:rsidRPr="00222D33">
        <w:t xml:space="preserve"> their impact on achieving </w:t>
      </w:r>
      <w:r w:rsidR="00415F16" w:rsidRPr="00222D33">
        <w:t>the Council’s desired outcomes</w:t>
      </w:r>
    </w:p>
    <w:p w:rsidR="00222D33" w:rsidRPr="00222D33" w:rsidRDefault="00415F16" w:rsidP="00222D33">
      <w:pPr>
        <w:pStyle w:val="NoSpacing"/>
        <w:numPr>
          <w:ilvl w:val="0"/>
          <w:numId w:val="17"/>
        </w:numPr>
      </w:pPr>
      <w:r w:rsidRPr="00222D33">
        <w:t>Determine</w:t>
      </w:r>
      <w:r w:rsidR="00222D33" w:rsidRPr="00222D33">
        <w:t xml:space="preserve"> necessary changes</w:t>
      </w:r>
    </w:p>
    <w:p w:rsidR="00415F16" w:rsidRPr="00222D33" w:rsidRDefault="00222D33" w:rsidP="00222D33">
      <w:pPr>
        <w:pStyle w:val="NoSpacing"/>
        <w:numPr>
          <w:ilvl w:val="0"/>
          <w:numId w:val="17"/>
        </w:numPr>
      </w:pPr>
      <w:r w:rsidRPr="00222D33">
        <w:t>E</w:t>
      </w:r>
      <w:r w:rsidR="00415F16" w:rsidRPr="00222D33">
        <w:t>nsure the rules for child care providers are consistent across sets of rules,</w:t>
      </w:r>
      <w:r w:rsidR="00EC2F02" w:rsidRPr="00222D33">
        <w:t xml:space="preserve"> align</w:t>
      </w:r>
      <w:r w:rsidR="00415F16" w:rsidRPr="00222D33">
        <w:t>ed</w:t>
      </w:r>
      <w:r w:rsidR="00EC2F02" w:rsidRPr="00222D33">
        <w:t xml:space="preserve"> with broader state goals and those of related agencies</w:t>
      </w:r>
      <w:r w:rsidR="00415F16" w:rsidRPr="00222D33">
        <w:t xml:space="preserve">, and </w:t>
      </w:r>
    </w:p>
    <w:p w:rsidR="00415F16" w:rsidRPr="00222D33" w:rsidRDefault="00415F16" w:rsidP="00222D33">
      <w:pPr>
        <w:pStyle w:val="NoSpacing"/>
        <w:numPr>
          <w:ilvl w:val="0"/>
          <w:numId w:val="17"/>
        </w:numPr>
      </w:pPr>
      <w:r w:rsidRPr="00222D33">
        <w:t>Ensure that children are in safe environments that promote healthy physical, social, emotional and cognitive development and support high quality interactions among families and providers.</w:t>
      </w:r>
    </w:p>
    <w:p w:rsidR="00EE2E17" w:rsidRDefault="00EE2E17" w:rsidP="00222D33">
      <w:pPr>
        <w:pStyle w:val="NoSpacing"/>
      </w:pPr>
    </w:p>
    <w:sectPr w:rsidR="00EE2E17" w:rsidSect="00EE2E17">
      <w:headerReference w:type="even" r:id="rId9"/>
      <w:headerReference w:type="default" r:id="rId10"/>
      <w:headerReference w:type="first" r:id="rId11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C4" w:rsidRDefault="00C834C4" w:rsidP="00EF4778">
      <w:pPr>
        <w:spacing w:line="240" w:lineRule="auto"/>
      </w:pPr>
      <w:r>
        <w:separator/>
      </w:r>
    </w:p>
  </w:endnote>
  <w:endnote w:type="continuationSeparator" w:id="0">
    <w:p w:rsidR="00C834C4" w:rsidRDefault="00C834C4" w:rsidP="00EF4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C4" w:rsidRDefault="00C834C4" w:rsidP="00EF4778">
      <w:pPr>
        <w:spacing w:line="240" w:lineRule="auto"/>
      </w:pPr>
      <w:r>
        <w:separator/>
      </w:r>
    </w:p>
  </w:footnote>
  <w:footnote w:type="continuationSeparator" w:id="0">
    <w:p w:rsidR="00C834C4" w:rsidRDefault="00C834C4" w:rsidP="00EF4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78" w:rsidRDefault="00EF47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78" w:rsidRDefault="00EF47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778" w:rsidRDefault="00EF47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E7A"/>
    <w:multiLevelType w:val="hybridMultilevel"/>
    <w:tmpl w:val="45D0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959C3"/>
    <w:multiLevelType w:val="hybridMultilevel"/>
    <w:tmpl w:val="BFD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590F"/>
    <w:multiLevelType w:val="hybridMultilevel"/>
    <w:tmpl w:val="B910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5174"/>
    <w:multiLevelType w:val="hybridMultilevel"/>
    <w:tmpl w:val="414C8E00"/>
    <w:lvl w:ilvl="0" w:tplc="095C6F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B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E80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47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AC2E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AF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6E9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0F3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4F6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24FB3"/>
    <w:multiLevelType w:val="hybridMultilevel"/>
    <w:tmpl w:val="DDD8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6EEA"/>
    <w:multiLevelType w:val="hybridMultilevel"/>
    <w:tmpl w:val="97C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B5AA2"/>
    <w:multiLevelType w:val="hybridMultilevel"/>
    <w:tmpl w:val="010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F07C3"/>
    <w:multiLevelType w:val="hybridMultilevel"/>
    <w:tmpl w:val="02C2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74783"/>
    <w:multiLevelType w:val="hybridMultilevel"/>
    <w:tmpl w:val="2182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14EBB"/>
    <w:multiLevelType w:val="hybridMultilevel"/>
    <w:tmpl w:val="0EA42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C25B56"/>
    <w:multiLevelType w:val="hybridMultilevel"/>
    <w:tmpl w:val="5E0E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5096E"/>
    <w:multiLevelType w:val="hybridMultilevel"/>
    <w:tmpl w:val="DBA2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7016"/>
    <w:multiLevelType w:val="hybridMultilevel"/>
    <w:tmpl w:val="8C80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02352"/>
    <w:multiLevelType w:val="hybridMultilevel"/>
    <w:tmpl w:val="8BE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25E7C"/>
    <w:multiLevelType w:val="hybridMultilevel"/>
    <w:tmpl w:val="2E0E39C4"/>
    <w:lvl w:ilvl="0" w:tplc="A54617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077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AC1C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EFA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667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043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4ED4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E0B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D4D5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1E77FA"/>
    <w:multiLevelType w:val="hybridMultilevel"/>
    <w:tmpl w:val="EF6E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D1A76"/>
    <w:multiLevelType w:val="hybridMultilevel"/>
    <w:tmpl w:val="CFC2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5"/>
  </w:num>
  <w:num w:numId="5">
    <w:abstractNumId w:val="14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E2"/>
    <w:rsid w:val="000744F2"/>
    <w:rsid w:val="00094C51"/>
    <w:rsid w:val="000D1FA4"/>
    <w:rsid w:val="00143683"/>
    <w:rsid w:val="00171A11"/>
    <w:rsid w:val="001D5859"/>
    <w:rsid w:val="001E7726"/>
    <w:rsid w:val="002167DD"/>
    <w:rsid w:val="00222D33"/>
    <w:rsid w:val="00242672"/>
    <w:rsid w:val="00274783"/>
    <w:rsid w:val="003610D5"/>
    <w:rsid w:val="00370FB0"/>
    <w:rsid w:val="003849BA"/>
    <w:rsid w:val="00390112"/>
    <w:rsid w:val="003C4B85"/>
    <w:rsid w:val="00415F16"/>
    <w:rsid w:val="004303AE"/>
    <w:rsid w:val="00515FF0"/>
    <w:rsid w:val="00577444"/>
    <w:rsid w:val="00587CFD"/>
    <w:rsid w:val="005D6FBA"/>
    <w:rsid w:val="006257D2"/>
    <w:rsid w:val="00651C53"/>
    <w:rsid w:val="006F6B67"/>
    <w:rsid w:val="00793529"/>
    <w:rsid w:val="007C2995"/>
    <w:rsid w:val="007D1A59"/>
    <w:rsid w:val="007E1665"/>
    <w:rsid w:val="007F5DBA"/>
    <w:rsid w:val="00875B43"/>
    <w:rsid w:val="008C0EE2"/>
    <w:rsid w:val="00933CA5"/>
    <w:rsid w:val="00985E73"/>
    <w:rsid w:val="009B7C42"/>
    <w:rsid w:val="00A07B2A"/>
    <w:rsid w:val="00A13CF2"/>
    <w:rsid w:val="00A66142"/>
    <w:rsid w:val="00A9042A"/>
    <w:rsid w:val="00A93806"/>
    <w:rsid w:val="00AC0D1D"/>
    <w:rsid w:val="00AE5125"/>
    <w:rsid w:val="00B44676"/>
    <w:rsid w:val="00BE1728"/>
    <w:rsid w:val="00C042DB"/>
    <w:rsid w:val="00C45993"/>
    <w:rsid w:val="00C834C4"/>
    <w:rsid w:val="00CA55FF"/>
    <w:rsid w:val="00CB19C8"/>
    <w:rsid w:val="00D1546D"/>
    <w:rsid w:val="00D63064"/>
    <w:rsid w:val="00DA6863"/>
    <w:rsid w:val="00DE3344"/>
    <w:rsid w:val="00E119F3"/>
    <w:rsid w:val="00E56EE1"/>
    <w:rsid w:val="00E6440D"/>
    <w:rsid w:val="00EA1799"/>
    <w:rsid w:val="00EC2F02"/>
    <w:rsid w:val="00EE2E17"/>
    <w:rsid w:val="00EE58B2"/>
    <w:rsid w:val="00EF4778"/>
    <w:rsid w:val="00F05C24"/>
    <w:rsid w:val="00F6009D"/>
    <w:rsid w:val="00F67500"/>
    <w:rsid w:val="00FE40E5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E2"/>
    <w:pPr>
      <w:tabs>
        <w:tab w:val="left" w:pos="360"/>
      </w:tabs>
      <w:spacing w:after="0" w:line="36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778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8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F4778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8"/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985E73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7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E2"/>
    <w:pPr>
      <w:tabs>
        <w:tab w:val="left" w:pos="360"/>
      </w:tabs>
      <w:spacing w:after="0" w:line="36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E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778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8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F4778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8"/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985E73"/>
    <w:pPr>
      <w:tabs>
        <w:tab w:val="clear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5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F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77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5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01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4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7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1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11C5-84EC-8B4C-9378-D9AD05BC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PINHEIRO Lisa</dc:creator>
  <cp:lastModifiedBy>Heidi East McGowan</cp:lastModifiedBy>
  <cp:revision>2</cp:revision>
  <cp:lastPrinted>2016-02-11T22:02:00Z</cp:lastPrinted>
  <dcterms:created xsi:type="dcterms:W3CDTF">2016-02-17T23:20:00Z</dcterms:created>
  <dcterms:modified xsi:type="dcterms:W3CDTF">2016-02-17T23:20:00Z</dcterms:modified>
</cp:coreProperties>
</file>